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5"/>
        <w:gridCol w:w="4885"/>
      </w:tblGrid>
      <w:tr w:rsidR="00360CBA" w:rsidTr="00752465">
        <w:tc>
          <w:tcPr>
            <w:tcW w:w="4885" w:type="dxa"/>
            <w:shd w:val="clear" w:color="auto" w:fill="auto"/>
          </w:tcPr>
          <w:p w:rsidR="00360CBA" w:rsidRDefault="00360CBA" w:rsidP="00752465">
            <w:pPr>
              <w:jc w:val="both"/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1F497D"/>
                <w:sz w:val="28"/>
                <w:szCs w:val="28"/>
              </w:rPr>
              <w:t xml:space="preserve">MEDIACAMPUS </w:t>
            </w:r>
          </w:p>
          <w:p w:rsidR="00360CBA" w:rsidRDefault="00360CBA" w:rsidP="00752465">
            <w:pPr>
              <w:jc w:val="both"/>
            </w:pPr>
            <w:r>
              <w:rPr>
                <w:rFonts w:ascii="Tahoma" w:hAnsi="Tahoma" w:cs="Tahoma"/>
                <w:b/>
                <w:color w:val="1F497D"/>
                <w:sz w:val="28"/>
                <w:szCs w:val="28"/>
              </w:rPr>
              <w:t>Formazione giuridico economica</w:t>
            </w:r>
          </w:p>
        </w:tc>
        <w:tc>
          <w:tcPr>
            <w:tcW w:w="4885" w:type="dxa"/>
            <w:shd w:val="clear" w:color="auto" w:fill="auto"/>
          </w:tcPr>
          <w:p w:rsidR="00360CBA" w:rsidRDefault="00360CBA" w:rsidP="00752465">
            <w:pPr>
              <w:jc w:val="right"/>
            </w:pPr>
          </w:p>
        </w:tc>
      </w:tr>
    </w:tbl>
    <w:p w:rsidR="00360CBA" w:rsidRDefault="00360CBA" w:rsidP="00360CBA">
      <w:pPr>
        <w:jc w:val="right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79"/>
        <w:gridCol w:w="4889"/>
      </w:tblGrid>
      <w:tr w:rsidR="00360CBA" w:rsidTr="00752465">
        <w:tc>
          <w:tcPr>
            <w:tcW w:w="4779" w:type="dxa"/>
            <w:shd w:val="clear" w:color="auto" w:fill="auto"/>
          </w:tcPr>
          <w:p w:rsidR="00360CBA" w:rsidRDefault="00360CBA" w:rsidP="00752465">
            <w:pPr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360CBA" w:rsidRDefault="00360CBA" w:rsidP="00752465">
            <w:pPr>
              <w:jc w:val="right"/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</w:p>
        </w:tc>
      </w:tr>
      <w:tr w:rsidR="00360CBA" w:rsidTr="00752465">
        <w:tc>
          <w:tcPr>
            <w:tcW w:w="4779" w:type="dxa"/>
            <w:shd w:val="clear" w:color="auto" w:fill="auto"/>
          </w:tcPr>
          <w:p w:rsidR="00360CBA" w:rsidRDefault="00360CBA" w:rsidP="00752465">
            <w:pPr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360CBA" w:rsidRDefault="00360CBA" w:rsidP="00752465">
            <w:pPr>
              <w:jc w:val="right"/>
              <w:rPr>
                <w:rFonts w:ascii="Tahoma" w:hAnsi="Tahoma" w:cs="Tahoma"/>
                <w:b/>
                <w:color w:val="1F497D"/>
                <w:sz w:val="28"/>
                <w:szCs w:val="28"/>
              </w:rPr>
            </w:pPr>
          </w:p>
        </w:tc>
      </w:tr>
    </w:tbl>
    <w:p w:rsidR="00360CBA" w:rsidRDefault="00360CBA" w:rsidP="00360CBA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D5DCE4"/>
        <w:jc w:val="center"/>
        <w:rPr>
          <w:rFonts w:ascii="Tahoma" w:hAnsi="Tahoma" w:cs="Tahoma"/>
          <w:b/>
          <w:color w:val="44546A"/>
          <w:sz w:val="32"/>
          <w:szCs w:val="32"/>
        </w:rPr>
      </w:pPr>
    </w:p>
    <w:p w:rsidR="00360CBA" w:rsidRPr="00DD34AD" w:rsidRDefault="00360CBA" w:rsidP="00360CBA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D5DCE4"/>
        <w:jc w:val="center"/>
        <w:rPr>
          <w:rFonts w:ascii="Tahoma" w:hAnsi="Tahoma" w:cs="Tahoma"/>
          <w:b/>
          <w:color w:val="1F497D"/>
          <w:sz w:val="32"/>
          <w:szCs w:val="32"/>
        </w:rPr>
      </w:pPr>
      <w:r>
        <w:rPr>
          <w:rFonts w:ascii="Tahoma" w:hAnsi="Tahoma" w:cs="Tahoma"/>
          <w:b/>
          <w:color w:val="1F497D"/>
          <w:sz w:val="32"/>
          <w:szCs w:val="32"/>
        </w:rPr>
        <w:t>Il ricorso per Cassazione</w:t>
      </w:r>
    </w:p>
    <w:p w:rsidR="00360CBA" w:rsidRPr="00DD34AD" w:rsidRDefault="00360CBA" w:rsidP="00360CBA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D5DCE4"/>
        <w:jc w:val="center"/>
        <w:rPr>
          <w:rFonts w:ascii="Tahoma" w:hAnsi="Tahoma" w:cs="Tahoma"/>
          <w:b/>
          <w:color w:val="1F497D"/>
          <w:sz w:val="32"/>
          <w:szCs w:val="32"/>
        </w:rPr>
      </w:pPr>
    </w:p>
    <w:p w:rsidR="00360CBA" w:rsidRPr="00DD34AD" w:rsidRDefault="00360CBA" w:rsidP="00360CBA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D5DCE4"/>
        <w:spacing w:line="360" w:lineRule="auto"/>
        <w:jc w:val="center"/>
        <w:rPr>
          <w:rFonts w:ascii="Tahoma" w:hAnsi="Tahoma" w:cs="Tahoma"/>
          <w:b/>
          <w:i/>
          <w:color w:val="1F497D"/>
          <w:sz w:val="22"/>
          <w:szCs w:val="22"/>
        </w:rPr>
      </w:pPr>
      <w:r>
        <w:rPr>
          <w:rFonts w:ascii="Tahoma" w:hAnsi="Tahoma" w:cs="Tahoma"/>
          <w:b/>
          <w:i/>
          <w:color w:val="1F497D"/>
          <w:sz w:val="22"/>
          <w:szCs w:val="22"/>
        </w:rPr>
        <w:t>San Pietro di Feletto (Treviso), 7, 8, 9 ottobre 2016</w:t>
      </w:r>
    </w:p>
    <w:p w:rsidR="00360CBA" w:rsidRPr="00DD34AD" w:rsidRDefault="00360CBA" w:rsidP="00360CBA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D5DCE4"/>
        <w:spacing w:line="360" w:lineRule="auto"/>
        <w:jc w:val="center"/>
        <w:rPr>
          <w:rFonts w:ascii="Calibri" w:hAnsi="Calibri" w:cs="Calibri"/>
          <w:b/>
          <w:bCs/>
          <w:color w:val="1F497D"/>
          <w:sz w:val="16"/>
          <w:szCs w:val="16"/>
          <w:u w:val="single"/>
        </w:rPr>
      </w:pPr>
      <w:r>
        <w:rPr>
          <w:rFonts w:ascii="Tahoma" w:hAnsi="Tahoma" w:cs="Tahoma"/>
          <w:b/>
          <w:i/>
          <w:color w:val="1F497D"/>
          <w:sz w:val="22"/>
          <w:szCs w:val="22"/>
        </w:rPr>
        <w:t>Centro Congressi Ca’ del Poggio</w:t>
      </w:r>
    </w:p>
    <w:p w:rsidR="00360CBA" w:rsidRDefault="00360CBA" w:rsidP="00360CBA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360CBA" w:rsidRDefault="00360CBA" w:rsidP="00360CBA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360CBA" w:rsidRDefault="002023C7" w:rsidP="00360CBA">
      <w:pPr>
        <w:jc w:val="center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Accreditato ai fini della formazione continua degli Avvocati con 8 crediti</w:t>
      </w:r>
    </w:p>
    <w:p w:rsidR="00360CBA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</w:p>
    <w:p w:rsidR="00360CBA" w:rsidRDefault="00360CBA" w:rsidP="00360CBA">
      <w:pPr>
        <w:widowControl w:val="0"/>
        <w:jc w:val="right"/>
        <w:rPr>
          <w:rFonts w:ascii="Tahoma" w:hAnsi="Tahoma" w:cs="Tahoma"/>
          <w:color w:val="44546A"/>
          <w:sz w:val="22"/>
          <w:szCs w:val="22"/>
        </w:rPr>
      </w:pPr>
    </w:p>
    <w:p w:rsidR="00360CBA" w:rsidRDefault="00360CBA" w:rsidP="00360CBA">
      <w:pPr>
        <w:spacing w:line="36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color w:val="FF0000"/>
        </w:rPr>
        <w:t>PROGRAMMA DEI LAVORI</w:t>
      </w:r>
    </w:p>
    <w:p w:rsidR="00360CBA" w:rsidRP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Le impugnazioni in generale</w:t>
      </w:r>
    </w:p>
    <w:p w:rsidR="00360CBA" w:rsidRPr="00360CBA" w:rsidRDefault="00360CBA" w:rsidP="00360CBA">
      <w:pPr>
        <w:suppressAutoHyphens w:val="0"/>
        <w:ind w:left="72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Il ricorso per Cassazione in generale :</w:t>
      </w:r>
    </w:p>
    <w:p w:rsidR="00360CBA" w:rsidRPr="00360CBA" w:rsidRDefault="00360CBA" w:rsidP="00360CBA">
      <w:pPr>
        <w:suppressAutoHyphens w:val="0"/>
        <w:jc w:val="both"/>
        <w:rPr>
          <w:rFonts w:ascii="Tahoma" w:hAnsi="Tahoma" w:cs="Tahoma"/>
          <w:i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filtro per l’accesso al giudizio di legittimità;</w:t>
      </w:r>
    </w:p>
    <w:p w:rsidR="00360CBA" w:rsidRPr="00360CBA" w:rsidRDefault="00360CBA" w:rsidP="00360CBA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vizio di motivazione;</w:t>
      </w:r>
    </w:p>
    <w:p w:rsidR="00360CBA" w:rsidRPr="00360CBA" w:rsidRDefault="00360CBA" w:rsidP="00360CBA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travisamento del fatto;</w:t>
      </w:r>
    </w:p>
    <w:p w:rsidR="00360CBA" w:rsidRPr="00360CBA" w:rsidRDefault="00360CBA" w:rsidP="00360CBA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omessa pronuncia;</w:t>
      </w:r>
    </w:p>
    <w:p w:rsidR="00360CBA" w:rsidRPr="00360CBA" w:rsidRDefault="0022376A" w:rsidP="00360CBA">
      <w:pPr>
        <w:numPr>
          <w:ilvl w:val="1"/>
          <w:numId w:val="1"/>
        </w:numPr>
        <w:suppressAutoHyphens w:val="0"/>
        <w:jc w:val="both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vizio della sentenza.</w:t>
      </w:r>
    </w:p>
    <w:p w:rsidR="00360CBA" w:rsidRP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I provvedimenti impugnabili</w:t>
      </w:r>
    </w:p>
    <w:p w:rsidR="00360CBA" w:rsidRPr="00360CBA" w:rsidRDefault="00360CBA" w:rsidP="00360CBA">
      <w:pPr>
        <w:suppressAutoHyphens w:val="0"/>
        <w:ind w:left="36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Tecniche di redazione del ricorso</w:t>
      </w:r>
    </w:p>
    <w:p w:rsidR="00E17469" w:rsidRPr="001A41F8" w:rsidRDefault="00E17469" w:rsidP="001A41F8">
      <w:pPr>
        <w:suppressAutoHyphens w:val="0"/>
        <w:jc w:val="both"/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</w:pPr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Usi e abusi del princ</w:t>
      </w:r>
      <w:r w:rsidR="007043C5"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 xml:space="preserve">ipio di autosufficienza di cui </w:t>
      </w:r>
      <w:proofErr w:type="spellStart"/>
      <w:r w:rsidR="007043C5"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C</w:t>
      </w:r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ass</w:t>
      </w:r>
      <w:proofErr w:type="spellEnd"/>
      <w:r w:rsidR="007043C5"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. del</w:t>
      </w:r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 xml:space="preserve"> 22.02.2016 n. 3385, </w:t>
      </w:r>
      <w:proofErr w:type="spellStart"/>
      <w:r w:rsidR="007043C5"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C</w:t>
      </w:r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ass</w:t>
      </w:r>
      <w:proofErr w:type="spellEnd"/>
      <w:r w:rsidR="007043C5"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 xml:space="preserve">. del 12.02.2016 n. 2846, </w:t>
      </w:r>
      <w:proofErr w:type="spellStart"/>
      <w:r w:rsidR="007043C5"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C</w:t>
      </w:r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ass</w:t>
      </w:r>
      <w:proofErr w:type="spellEnd"/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.</w:t>
      </w:r>
      <w:r w:rsidR="007043C5"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 xml:space="preserve"> del</w:t>
      </w:r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 xml:space="preserve"> 29.09.2015 n. 19218</w:t>
      </w:r>
    </w:p>
    <w:p w:rsidR="00360CBA" w:rsidRPr="00360CBA" w:rsidRDefault="00360CBA" w:rsidP="00360CBA">
      <w:pPr>
        <w:suppressAutoHyphens w:val="0"/>
        <w:ind w:left="36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 xml:space="preserve">Declaratoria di manifesta infondatezza de ricorso ai sensi dell’art. 348 bis </w:t>
      </w:r>
      <w:proofErr w:type="spellStart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c.p.c.</w:t>
      </w:r>
      <w:proofErr w:type="spellEnd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 xml:space="preserve"> </w:t>
      </w:r>
    </w:p>
    <w:p w:rsidR="00360CBA" w:rsidRPr="00360CBA" w:rsidRDefault="00360CBA" w:rsidP="00360CBA">
      <w:pPr>
        <w:suppressAutoHyphens w:val="0"/>
        <w:ind w:left="72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 xml:space="preserve">I motivi del ricorso ed il nuovo art. 360 n. 5 </w:t>
      </w:r>
      <w:proofErr w:type="spellStart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c.p.c.</w:t>
      </w:r>
      <w:proofErr w:type="spellEnd"/>
    </w:p>
    <w:p w:rsidR="00360CBA" w:rsidRP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numPr>
          <w:ilvl w:val="0"/>
          <w:numId w:val="4"/>
        </w:num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procura speciale;</w:t>
      </w:r>
    </w:p>
    <w:p w:rsidR="00360CBA" w:rsidRPr="00360CBA" w:rsidRDefault="00360CBA" w:rsidP="00360CBA">
      <w:pPr>
        <w:numPr>
          <w:ilvl w:val="0"/>
          <w:numId w:val="4"/>
        </w:num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notifica del ricorso</w:t>
      </w:r>
    </w:p>
    <w:p w:rsidR="00360CBA" w:rsidRPr="00360CBA" w:rsidRDefault="00360CBA" w:rsidP="00360CBA">
      <w:pPr>
        <w:numPr>
          <w:ilvl w:val="0"/>
          <w:numId w:val="4"/>
        </w:num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contenuto del ricorso;</w:t>
      </w:r>
    </w:p>
    <w:p w:rsidR="00360CBA" w:rsidRPr="00360CBA" w:rsidRDefault="00360CBA" w:rsidP="00360CBA">
      <w:pPr>
        <w:numPr>
          <w:ilvl w:val="0"/>
          <w:numId w:val="4"/>
        </w:num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produzione di memorie e documenti;</w:t>
      </w:r>
    </w:p>
    <w:p w:rsidR="00360CBA" w:rsidRPr="00360CBA" w:rsidRDefault="00360CBA" w:rsidP="00360CBA">
      <w:pPr>
        <w:numPr>
          <w:ilvl w:val="0"/>
          <w:numId w:val="4"/>
        </w:num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rinvio pregiudiziale alla Corte di Giustizia;</w:t>
      </w:r>
    </w:p>
    <w:p w:rsidR="00360CBA" w:rsidRP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suppressAutoHyphens w:val="0"/>
        <w:ind w:left="360"/>
        <w:rPr>
          <w:rFonts w:ascii="Verdana" w:hAnsi="Verdana"/>
          <w:color w:val="444444"/>
          <w:sz w:val="17"/>
          <w:szCs w:val="17"/>
          <w:shd w:val="clear" w:color="auto" w:fill="FFFFFF"/>
          <w:lang w:eastAsia="it-IT"/>
        </w:rPr>
      </w:pPr>
    </w:p>
    <w:p w:rsidR="00360CBA" w:rsidRPr="00360CBA" w:rsidRDefault="00360CBA" w:rsidP="00360CBA">
      <w:pPr>
        <w:suppressAutoHyphens w:val="0"/>
        <w:rPr>
          <w:rFonts w:ascii="Tahoma" w:hAnsi="Tahoma" w:cs="Tahoma"/>
          <w:color w:val="1F497D"/>
          <w:sz w:val="22"/>
          <w:szCs w:val="22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 xml:space="preserve">Il ricorso per </w:t>
      </w:r>
      <w:proofErr w:type="spellStart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saltum</w:t>
      </w:r>
      <w:proofErr w:type="spellEnd"/>
    </w:p>
    <w:p w:rsidR="00360CBA" w:rsidRPr="00360CBA" w:rsidRDefault="00360CBA" w:rsidP="00360CBA">
      <w:pPr>
        <w:suppressAutoHyphens w:val="0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suppressAutoHyphens w:val="0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C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ontroricorso e ricorso incidentale</w:t>
      </w:r>
      <w:r w:rsidRPr="00360CBA">
        <w:rPr>
          <w:rFonts w:ascii="Tahoma" w:hAnsi="Tahoma" w:cs="Tahoma"/>
          <w:color w:val="1F497D"/>
          <w:sz w:val="22"/>
          <w:szCs w:val="22"/>
          <w:lang w:eastAsia="it-IT"/>
        </w:rPr>
        <w:br/>
      </w:r>
    </w:p>
    <w:p w:rsidR="00360CBA" w:rsidRPr="00360CBA" w:rsidRDefault="00360CBA" w:rsidP="00360CBA">
      <w:pPr>
        <w:suppressAutoHyphens w:val="0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La decisione: inammissibilità e rigetto</w:t>
      </w:r>
    </w:p>
    <w:p w:rsidR="00360CBA" w:rsidRPr="00360CBA" w:rsidRDefault="00360CBA" w:rsidP="00360CBA">
      <w:pPr>
        <w:suppressAutoHyphens w:val="0"/>
        <w:ind w:left="360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suppressAutoHyphens w:val="0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lastRenderedPageBreak/>
        <w:t>La decisione nel merito</w:t>
      </w:r>
    </w:p>
    <w:p w:rsidR="00360CBA" w:rsidRPr="00360CBA" w:rsidRDefault="00360CBA" w:rsidP="00360CBA">
      <w:pPr>
        <w:suppressAutoHyphens w:val="0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Pr="00360CBA" w:rsidRDefault="00360CBA" w:rsidP="00360CBA">
      <w:pPr>
        <w:suppressAutoHyphens w:val="0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La disciplina delle spese</w:t>
      </w:r>
      <w:r w:rsidRPr="00360CBA">
        <w:rPr>
          <w:rFonts w:ascii="Tahoma" w:hAnsi="Tahoma" w:cs="Tahoma"/>
          <w:color w:val="1F497D"/>
          <w:sz w:val="22"/>
          <w:szCs w:val="22"/>
          <w:lang w:eastAsia="it-IT"/>
        </w:rPr>
        <w:br/>
      </w:r>
    </w:p>
    <w:p w:rsidR="00360CBA" w:rsidRPr="00360CBA" w:rsidRDefault="00360CBA" w:rsidP="00360CBA">
      <w:pPr>
        <w:suppressAutoHyphens w:val="0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La revocazione</w:t>
      </w:r>
      <w:r w:rsidRPr="00360CBA">
        <w:rPr>
          <w:rFonts w:ascii="Tahoma" w:hAnsi="Tahoma" w:cs="Tahoma"/>
          <w:color w:val="1F497D"/>
          <w:sz w:val="22"/>
          <w:szCs w:val="22"/>
          <w:lang w:eastAsia="it-IT"/>
        </w:rPr>
        <w:br/>
      </w:r>
    </w:p>
    <w:p w:rsidR="00360CBA" w:rsidRDefault="00360CBA" w:rsidP="00360CBA">
      <w:pPr>
        <w:suppressAutoHyphens w:val="0"/>
        <w:outlineLvl w:val="0"/>
        <w:rPr>
          <w:rFonts w:ascii="Tahoma" w:hAnsi="Tahoma" w:cs="Tahoma"/>
          <w:color w:val="1F497D"/>
          <w:sz w:val="22"/>
          <w:szCs w:val="22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L’opposizione di terzo</w:t>
      </w:r>
    </w:p>
    <w:p w:rsidR="00360CBA" w:rsidRPr="00360CBA" w:rsidRDefault="00360CBA" w:rsidP="00360CBA">
      <w:pPr>
        <w:suppressAutoHyphens w:val="0"/>
        <w:ind w:left="360"/>
        <w:outlineLvl w:val="0"/>
        <w:rPr>
          <w:rFonts w:ascii="Tahoma" w:eastAsia="Arial Unicode MS" w:hAnsi="Tahoma" w:cs="Tahoma"/>
          <w:b/>
          <w:color w:val="1F497D"/>
          <w:sz w:val="22"/>
          <w:szCs w:val="22"/>
          <w:lang w:eastAsia="en-US"/>
        </w:rPr>
      </w:pPr>
    </w:p>
    <w:p w:rsidR="00360CBA" w:rsidRDefault="00360CBA" w:rsidP="00360CBA">
      <w:pPr>
        <w:suppressAutoHyphens w:val="0"/>
        <w:spacing w:line="360" w:lineRule="auto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Impugnabilità dell’ordinanza di inammissibilità della sola sentenza di primo</w:t>
      </w:r>
      <w:r w:rsidRPr="00360CBA">
        <w:rPr>
          <w:color w:val="1F497D"/>
          <w:shd w:val="clear" w:color="auto" w:fill="FFFFFF"/>
          <w:lang w:eastAsia="it-IT"/>
        </w:rPr>
        <w:t> </w:t>
      </w:r>
      <w:r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 xml:space="preserve"> grado</w:t>
      </w:r>
    </w:p>
    <w:p w:rsidR="00360CBA" w:rsidRDefault="00360CBA" w:rsidP="00360CBA">
      <w:pPr>
        <w:suppressAutoHyphens w:val="0"/>
        <w:spacing w:line="360" w:lineRule="auto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Interesse a impugnare anche l’ordinanza di inammissibi</w:t>
      </w:r>
      <w:r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lità</w:t>
      </w:r>
    </w:p>
    <w:p w:rsidR="00360CBA" w:rsidRDefault="00360CBA" w:rsidP="00360CBA">
      <w:pPr>
        <w:suppressAutoHyphens w:val="0"/>
        <w:spacing w:line="360" w:lineRule="auto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Impugnabilità con un unico ricorso della ordinanza di inammissibilità e della</w:t>
      </w:r>
      <w:r w:rsidRPr="00360CBA">
        <w:rPr>
          <w:color w:val="1F497D"/>
          <w:shd w:val="clear" w:color="auto" w:fill="FFFFFF"/>
          <w:lang w:eastAsia="it-IT"/>
        </w:rPr>
        <w:t> </w:t>
      </w:r>
      <w:r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sentenza di primo grado.</w:t>
      </w:r>
    </w:p>
    <w:p w:rsidR="00360CBA" w:rsidRDefault="00360CBA" w:rsidP="00360CBA">
      <w:pPr>
        <w:suppressAutoHyphens w:val="0"/>
        <w:spacing w:line="360" w:lineRule="auto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Default="00360CBA" w:rsidP="00360CBA">
      <w:pPr>
        <w:suppressAutoHyphens w:val="0"/>
        <w:spacing w:line="360" w:lineRule="auto"/>
        <w:rPr>
          <w:color w:val="1F497D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Provvedimenti in caso di accoglimento del ricorso contro la sentenza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 xml:space="preserve">• a) cassazione senza rinvio, ai sensi dell’art. 382, co. 3°, </w:t>
      </w:r>
      <w:proofErr w:type="spellStart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c.p.c.</w:t>
      </w:r>
      <w:proofErr w:type="spellEnd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;</w:t>
      </w:r>
      <w:r w:rsidRPr="00360CBA">
        <w:rPr>
          <w:color w:val="1F497D"/>
          <w:shd w:val="clear" w:color="auto" w:fill="FFFFFF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• b) decisione della « causa nel merito qualora non siano necessari ulteriori</w:t>
      </w:r>
      <w:r w:rsidRPr="00360CBA">
        <w:rPr>
          <w:color w:val="1F497D"/>
          <w:shd w:val="clear" w:color="auto" w:fill="FFFFFF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 xml:space="preserve">accertamenti di fatto», ai sensi dell’art. 384, co. 2°, </w:t>
      </w:r>
      <w:proofErr w:type="spellStart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c.p.c.</w:t>
      </w:r>
      <w:proofErr w:type="spellEnd"/>
      <w:r w:rsidRPr="00360CBA">
        <w:rPr>
          <w:color w:val="1F497D"/>
          <w:shd w:val="clear" w:color="auto" w:fill="FFFFFF"/>
          <w:lang w:eastAsia="it-IT"/>
        </w:rPr>
        <w:t> </w:t>
      </w:r>
    </w:p>
    <w:p w:rsidR="00360CBA" w:rsidRDefault="00360CBA" w:rsidP="00360CBA">
      <w:pPr>
        <w:suppressAutoHyphens w:val="0"/>
        <w:spacing w:line="360" w:lineRule="auto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</w:p>
    <w:p w:rsidR="00360CBA" w:rsidRDefault="00360CBA" w:rsidP="00360CBA">
      <w:pPr>
        <w:suppressAutoHyphens w:val="0"/>
        <w:spacing w:line="360" w:lineRule="auto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 xml:space="preserve">Riproposizione o meno delle questioni non proposte in appello </w:t>
      </w:r>
    </w:p>
    <w:p w:rsidR="00360CBA" w:rsidRPr="00360CBA" w:rsidRDefault="00360CBA" w:rsidP="00360CBA">
      <w:pPr>
        <w:suppressAutoHyphens w:val="0"/>
        <w:spacing w:line="360" w:lineRule="auto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Decisione dell’impugnazione, a seguito di rinvio della Cassazione, da parte della</w:t>
      </w:r>
      <w:r w:rsidRPr="00360CBA">
        <w:rPr>
          <w:color w:val="1F497D"/>
          <w:shd w:val="clear" w:color="auto" w:fill="FFFFFF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Corte d’Appello anche per ragioni diverse da quelle dedotte nei motivi di</w:t>
      </w:r>
      <w:r w:rsidRPr="00360CBA">
        <w:rPr>
          <w:color w:val="1F497D"/>
          <w:shd w:val="clear" w:color="auto" w:fill="FFFFFF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gravame.</w:t>
      </w:r>
    </w:p>
    <w:p w:rsidR="00E17469" w:rsidRDefault="00360CBA" w:rsidP="00360CBA">
      <w:pPr>
        <w:suppressAutoHyphens w:val="0"/>
        <w:spacing w:line="360" w:lineRule="auto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Possibilità del giudice di appello, a seguito del rinvio operato dalla Cassazione,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di sollevare eccezioni pregiudiziali di rito e di merito rispetto alla formazione del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giudicato implicito sull’originario atto di appello.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Mancata esposizione sommaria dei fatti di causa</w:t>
      </w:r>
    </w:p>
    <w:p w:rsidR="00360CBA" w:rsidRPr="007043C5" w:rsidRDefault="00E17469" w:rsidP="00360CBA">
      <w:pPr>
        <w:suppressAutoHyphens w:val="0"/>
        <w:spacing w:line="360" w:lineRule="auto"/>
        <w:rPr>
          <w:color w:val="FF0000"/>
          <w:lang w:eastAsia="it-IT"/>
        </w:rPr>
      </w:pPr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La storica sentenza in tema di chiamata in garanzia Sezioni U</w:t>
      </w:r>
      <w:r w:rsidR="007043C5"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nite</w:t>
      </w:r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 xml:space="preserve"> </w:t>
      </w:r>
      <w:r w:rsidR="007043C5"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del 04.12.</w:t>
      </w:r>
      <w:r w:rsidRPr="001A41F8">
        <w:rPr>
          <w:rFonts w:ascii="Tahoma" w:hAnsi="Tahoma" w:cs="Tahoma"/>
          <w:color w:val="1F497D" w:themeColor="text2"/>
          <w:sz w:val="22"/>
          <w:szCs w:val="22"/>
          <w:shd w:val="clear" w:color="auto" w:fill="FFFFFF"/>
          <w:lang w:eastAsia="it-IT"/>
        </w:rPr>
        <w:t>2015 n. 24707</w:t>
      </w:r>
      <w:r w:rsidR="00360CBA" w:rsidRPr="007043C5">
        <w:rPr>
          <w:rFonts w:ascii="Tahoma" w:hAnsi="Tahoma" w:cs="Tahoma"/>
          <w:color w:val="FF0000"/>
          <w:sz w:val="22"/>
          <w:szCs w:val="22"/>
          <w:shd w:val="clear" w:color="auto" w:fill="FFFFFF"/>
          <w:lang w:eastAsia="it-IT"/>
        </w:rPr>
        <w:br/>
      </w:r>
    </w:p>
    <w:p w:rsidR="00360CBA" w:rsidRPr="00360CBA" w:rsidRDefault="00360CBA" w:rsidP="00360CBA">
      <w:pPr>
        <w:suppressAutoHyphens w:val="0"/>
        <w:spacing w:line="360" w:lineRule="auto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Il giudizio di rinvio</w:t>
      </w:r>
    </w:p>
    <w:p w:rsidR="00360CBA" w:rsidRPr="00360CBA" w:rsidRDefault="00360CBA" w:rsidP="00360CBA">
      <w:pPr>
        <w:suppressAutoHyphens w:val="0"/>
        <w:spacing w:line="360" w:lineRule="auto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Casistica del Giudizio di rinvio:</w:t>
      </w:r>
    </w:p>
    <w:p w:rsidR="00360CBA" w:rsidRPr="00360CBA" w:rsidRDefault="00360CBA" w:rsidP="00360CBA">
      <w:pPr>
        <w:suppressAutoHyphens w:val="0"/>
        <w:spacing w:line="360" w:lineRule="auto"/>
        <w:outlineLvl w:val="0"/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</w:pP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Poteri del giudice del rinvio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Riassunzione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nei confronti di alcuni soltanto dei litisconsorti necessari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Effetti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della mancata riassunzione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Questioni conoscibili d'ufficio non rilevate nel giudizio di cassazione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Sindacabile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della sentenza della Cassazione da parte del giudice di rinvio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Mancata o tardiva riassunzione del giudizio di rinvio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Possibile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ampliare il "</w:t>
      </w:r>
      <w:proofErr w:type="spellStart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thema</w:t>
      </w:r>
      <w:proofErr w:type="spellEnd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decidendum</w:t>
      </w:r>
      <w:proofErr w:type="spellEnd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" e formulare nuove domande ed eccezioni? Possibile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produrre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nuovi documenti?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Ammissibili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nuove attività assertive e nuove conclusioni?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lastRenderedPageBreak/>
        <w:t>Ammissibile la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diversa qualificazione giuridica del rapporto controverso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Si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applica lo “</w:t>
      </w:r>
      <w:proofErr w:type="spellStart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ius</w:t>
      </w:r>
      <w:proofErr w:type="spellEnd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superveniens</w:t>
      </w:r>
      <w:proofErr w:type="spellEnd"/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"?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Deducibile la nullità della sentenza di legittimità nel giudizio di rinvio?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Conferimento di nuova procura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Rilevabilità del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giudicato esterno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Ammissibilità della domanda risarcitoria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Le questioni non accolte dal giudice di merito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L'istanza di rimessione alla Corte di giustizia della CE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br/>
        <w:t>Regolamentazione delle spese processuali</w:t>
      </w:r>
      <w:r w:rsidRPr="00360CBA">
        <w:rPr>
          <w:color w:val="1F497D"/>
          <w:lang w:eastAsia="it-IT"/>
        </w:rPr>
        <w:t> </w:t>
      </w:r>
      <w:r w:rsidRPr="00360CBA">
        <w:rPr>
          <w:rFonts w:ascii="Tahoma" w:hAnsi="Tahoma" w:cs="Tahoma"/>
          <w:color w:val="1F497D"/>
          <w:sz w:val="22"/>
          <w:szCs w:val="22"/>
          <w:shd w:val="clear" w:color="auto" w:fill="FFFFFF"/>
          <w:lang w:eastAsia="it-IT"/>
        </w:rPr>
        <w:t>nel giudizio di rinvio</w:t>
      </w:r>
    </w:p>
    <w:p w:rsidR="00360CBA" w:rsidRDefault="00360CBA" w:rsidP="00360CBA">
      <w:pPr>
        <w:jc w:val="both"/>
        <w:rPr>
          <w:rFonts w:ascii="Tahoma" w:hAnsi="Tahoma" w:cs="Tahoma"/>
          <w:b/>
          <w:i/>
          <w:color w:val="FF0000"/>
        </w:rPr>
      </w:pPr>
      <w:r>
        <w:rPr>
          <w:rFonts w:ascii="Tahoma" w:hAnsi="Tahoma" w:cs="Tahoma"/>
          <w:b/>
          <w:i/>
          <w:color w:val="FF0000"/>
        </w:rPr>
        <w:t>Ogni sessione di lavoro verrà seguita da un’esercitazione</w:t>
      </w:r>
    </w:p>
    <w:p w:rsidR="00360CBA" w:rsidRDefault="00360CBA" w:rsidP="00360CBA">
      <w:pPr>
        <w:jc w:val="both"/>
        <w:rPr>
          <w:rFonts w:ascii="Tahoma" w:hAnsi="Tahoma" w:cs="Tahoma"/>
          <w:b/>
          <w:i/>
          <w:color w:val="FF0000"/>
        </w:rPr>
      </w:pPr>
    </w:p>
    <w:p w:rsidR="00360CBA" w:rsidRDefault="00360CBA" w:rsidP="00360CBA">
      <w:pPr>
        <w:jc w:val="both"/>
        <w:rPr>
          <w:color w:val="1F497D"/>
        </w:rPr>
      </w:pPr>
    </w:p>
    <w:p w:rsidR="00360CBA" w:rsidRPr="00DD34A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eastAsia="Arial Unicode MS" w:hAnsi="Tahoma" w:cs="Tahoma"/>
          <w:b/>
          <w:color w:val="1F497D"/>
        </w:rPr>
        <w:t>Relatore</w:t>
      </w:r>
      <w:r w:rsidRPr="00DD34AD">
        <w:rPr>
          <w:rFonts w:ascii="Tahoma" w:eastAsia="Arial Unicode MS" w:hAnsi="Tahoma" w:cs="Tahoma"/>
          <w:b/>
          <w:color w:val="1F497D"/>
        </w:rPr>
        <w:t>:</w:t>
      </w:r>
    </w:p>
    <w:p w:rsidR="00360CBA" w:rsidRDefault="00360CBA" w:rsidP="00360CBA">
      <w:pPr>
        <w:jc w:val="both"/>
        <w:rPr>
          <w:rFonts w:ascii="Tahoma" w:hAnsi="Tahoma" w:cs="Tahoma"/>
          <w:b/>
          <w:color w:val="1F497D"/>
          <w:sz w:val="22"/>
          <w:szCs w:val="22"/>
        </w:rPr>
      </w:pPr>
      <w:r>
        <w:rPr>
          <w:rFonts w:ascii="Tahoma" w:hAnsi="Tahoma" w:cs="Tahoma"/>
          <w:b/>
          <w:color w:val="1F497D"/>
          <w:sz w:val="22"/>
          <w:szCs w:val="22"/>
        </w:rPr>
        <w:t>Dott. Angelo Spirito</w:t>
      </w:r>
    </w:p>
    <w:p w:rsidR="00360CBA" w:rsidRPr="00360CBA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Presidente di Sezione </w:t>
      </w:r>
      <w:r w:rsidR="0022376A">
        <w:rPr>
          <w:rFonts w:ascii="Tahoma" w:hAnsi="Tahoma" w:cs="Tahoma"/>
          <w:color w:val="1F497D"/>
          <w:sz w:val="22"/>
          <w:szCs w:val="22"/>
        </w:rPr>
        <w:t xml:space="preserve">presso la </w:t>
      </w:r>
      <w:r>
        <w:rPr>
          <w:rFonts w:ascii="Tahoma" w:hAnsi="Tahoma" w:cs="Tahoma"/>
          <w:color w:val="1F497D"/>
          <w:sz w:val="22"/>
          <w:szCs w:val="22"/>
        </w:rPr>
        <w:t>Suprema Corte di Cassazione</w:t>
      </w:r>
    </w:p>
    <w:p w:rsidR="00360CBA" w:rsidRPr="00DD34A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</w:p>
    <w:p w:rsidR="00360CBA" w:rsidRPr="00DD34A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 w:rsidRPr="00DD34AD">
        <w:rPr>
          <w:rFonts w:ascii="Tahoma" w:hAnsi="Tahoma" w:cs="Tahoma"/>
          <w:b/>
          <w:i/>
          <w:color w:val="1F497D"/>
          <w:sz w:val="22"/>
          <w:szCs w:val="22"/>
        </w:rPr>
        <w:t>Informazioni generali</w:t>
      </w:r>
    </w:p>
    <w:p w:rsidR="00360CBA" w:rsidRPr="00DD34A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</w:p>
    <w:p w:rsidR="00360CBA" w:rsidRPr="00DD34A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 w:rsidRPr="00DD34AD">
        <w:rPr>
          <w:rFonts w:ascii="Tahoma" w:hAnsi="Tahoma" w:cs="Tahoma"/>
          <w:b/>
          <w:color w:val="1F497D"/>
          <w:sz w:val="22"/>
          <w:szCs w:val="22"/>
        </w:rPr>
        <w:t>A chi si rivolge:</w:t>
      </w:r>
    </w:p>
    <w:p w:rsidR="00360CBA" w:rsidRPr="00DD34AD" w:rsidRDefault="00360CBA" w:rsidP="00360CBA">
      <w:pPr>
        <w:jc w:val="both"/>
        <w:rPr>
          <w:rFonts w:ascii="Tahoma" w:hAnsi="Tahoma" w:cs="Tahoma"/>
          <w:b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Avvocati</w:t>
      </w:r>
    </w:p>
    <w:p w:rsidR="00360CBA" w:rsidRPr="00DD34AD" w:rsidRDefault="00360CBA" w:rsidP="00360CBA">
      <w:pPr>
        <w:jc w:val="both"/>
        <w:rPr>
          <w:rFonts w:ascii="Tahoma" w:hAnsi="Tahoma" w:cs="Tahoma"/>
          <w:b/>
          <w:color w:val="1F497D"/>
          <w:sz w:val="22"/>
          <w:szCs w:val="22"/>
        </w:rPr>
      </w:pPr>
    </w:p>
    <w:p w:rsidR="00360CBA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 w:rsidRPr="00DD34AD">
        <w:rPr>
          <w:rFonts w:ascii="Tahoma" w:hAnsi="Tahoma" w:cs="Tahoma"/>
          <w:b/>
          <w:color w:val="1F497D"/>
          <w:sz w:val="22"/>
          <w:szCs w:val="22"/>
        </w:rPr>
        <w:t>Accreditamenti:</w:t>
      </w:r>
    </w:p>
    <w:p w:rsidR="002023C7" w:rsidRPr="002023C7" w:rsidRDefault="002023C7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Il corso è stato accreditato con 8 crediti</w:t>
      </w:r>
    </w:p>
    <w:p w:rsidR="0022376A" w:rsidRPr="00DD34AD" w:rsidRDefault="0022376A" w:rsidP="00360CBA">
      <w:pPr>
        <w:jc w:val="both"/>
        <w:rPr>
          <w:rFonts w:ascii="Tahoma" w:hAnsi="Tahoma" w:cs="Tahoma"/>
          <w:b/>
          <w:color w:val="1F497D"/>
          <w:sz w:val="22"/>
          <w:szCs w:val="22"/>
        </w:rPr>
      </w:pPr>
    </w:p>
    <w:p w:rsidR="00360CBA" w:rsidRPr="00DD34A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 w:rsidRPr="00DD34AD">
        <w:rPr>
          <w:rFonts w:ascii="Tahoma" w:hAnsi="Tahoma" w:cs="Tahoma"/>
          <w:b/>
          <w:color w:val="1F497D"/>
          <w:sz w:val="22"/>
          <w:szCs w:val="22"/>
        </w:rPr>
        <w:t>Dat</w:t>
      </w:r>
      <w:r>
        <w:rPr>
          <w:rFonts w:ascii="Tahoma" w:hAnsi="Tahoma" w:cs="Tahoma"/>
          <w:b/>
          <w:color w:val="1F497D"/>
          <w:sz w:val="22"/>
          <w:szCs w:val="22"/>
        </w:rPr>
        <w:t>e</w:t>
      </w:r>
      <w:r w:rsidR="0074788D">
        <w:rPr>
          <w:rFonts w:ascii="Tahoma" w:hAnsi="Tahoma" w:cs="Tahoma"/>
          <w:b/>
          <w:color w:val="1F497D"/>
          <w:sz w:val="22"/>
          <w:szCs w:val="22"/>
        </w:rPr>
        <w:t xml:space="preserve"> e orari</w:t>
      </w:r>
      <w:r w:rsidRPr="00DD34AD">
        <w:rPr>
          <w:rFonts w:ascii="Tahoma" w:hAnsi="Tahoma" w:cs="Tahoma"/>
          <w:b/>
          <w:color w:val="1F497D"/>
          <w:sz w:val="22"/>
          <w:szCs w:val="22"/>
        </w:rPr>
        <w:t>:</w:t>
      </w:r>
    </w:p>
    <w:p w:rsidR="00360CBA" w:rsidRPr="0074788D" w:rsidRDefault="00360CBA" w:rsidP="0074788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color w:val="1F497D"/>
          <w:sz w:val="22"/>
          <w:szCs w:val="22"/>
        </w:rPr>
      </w:pPr>
      <w:r w:rsidRPr="0074788D">
        <w:rPr>
          <w:rFonts w:ascii="Tahoma" w:hAnsi="Tahoma" w:cs="Tahoma"/>
          <w:color w:val="1F497D"/>
          <w:sz w:val="22"/>
          <w:szCs w:val="22"/>
        </w:rPr>
        <w:t>Venerdì 7 ottobre 2016</w:t>
      </w:r>
    </w:p>
    <w:p w:rsidR="00360CBA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ab/>
      </w:r>
      <w:r w:rsidR="0074788D">
        <w:rPr>
          <w:rFonts w:ascii="Tahoma" w:hAnsi="Tahoma" w:cs="Tahoma"/>
          <w:color w:val="1F497D"/>
          <w:sz w:val="22"/>
          <w:szCs w:val="22"/>
        </w:rPr>
        <w:tab/>
      </w:r>
      <w:r>
        <w:rPr>
          <w:rFonts w:ascii="Tahoma" w:hAnsi="Tahoma" w:cs="Tahoma"/>
          <w:color w:val="1F497D"/>
          <w:sz w:val="22"/>
          <w:szCs w:val="22"/>
        </w:rPr>
        <w:t>Ore 15.00 – 19.00</w:t>
      </w:r>
    </w:p>
    <w:p w:rsidR="00360CBA" w:rsidRPr="0074788D" w:rsidRDefault="00360CBA" w:rsidP="0074788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color w:val="1F497D"/>
          <w:sz w:val="22"/>
          <w:szCs w:val="22"/>
        </w:rPr>
      </w:pPr>
      <w:r w:rsidRPr="0074788D">
        <w:rPr>
          <w:rFonts w:ascii="Tahoma" w:hAnsi="Tahoma" w:cs="Tahoma"/>
          <w:color w:val="1F497D"/>
          <w:sz w:val="22"/>
          <w:szCs w:val="22"/>
        </w:rPr>
        <w:t>Sabato 8 ottobre 2016</w:t>
      </w:r>
    </w:p>
    <w:p w:rsidR="00360CBA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ab/>
      </w:r>
      <w:r w:rsidR="0074788D">
        <w:rPr>
          <w:rFonts w:ascii="Tahoma" w:hAnsi="Tahoma" w:cs="Tahoma"/>
          <w:color w:val="1F497D"/>
          <w:sz w:val="22"/>
          <w:szCs w:val="22"/>
        </w:rPr>
        <w:tab/>
      </w:r>
      <w:r w:rsidR="001A41F8">
        <w:rPr>
          <w:rFonts w:ascii="Tahoma" w:hAnsi="Tahoma" w:cs="Tahoma"/>
          <w:color w:val="1F497D"/>
          <w:sz w:val="22"/>
          <w:szCs w:val="22"/>
        </w:rPr>
        <w:t>Ore 9.3</w:t>
      </w:r>
      <w:r>
        <w:rPr>
          <w:rFonts w:ascii="Tahoma" w:hAnsi="Tahoma" w:cs="Tahoma"/>
          <w:color w:val="1F497D"/>
          <w:sz w:val="22"/>
          <w:szCs w:val="22"/>
        </w:rPr>
        <w:t>0 – 13.30</w:t>
      </w:r>
    </w:p>
    <w:p w:rsidR="0074788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ab/>
      </w:r>
      <w:r w:rsidR="0074788D">
        <w:rPr>
          <w:rFonts w:ascii="Tahoma" w:hAnsi="Tahoma" w:cs="Tahoma"/>
          <w:color w:val="1F497D"/>
          <w:sz w:val="22"/>
          <w:szCs w:val="22"/>
        </w:rPr>
        <w:tab/>
      </w:r>
      <w:r>
        <w:rPr>
          <w:rFonts w:ascii="Tahoma" w:hAnsi="Tahoma" w:cs="Tahoma"/>
          <w:color w:val="1F497D"/>
          <w:sz w:val="22"/>
          <w:szCs w:val="22"/>
        </w:rPr>
        <w:t xml:space="preserve">Ore </w:t>
      </w:r>
      <w:r w:rsidR="001A41F8">
        <w:rPr>
          <w:rFonts w:ascii="Tahoma" w:hAnsi="Tahoma" w:cs="Tahoma"/>
          <w:color w:val="1F497D"/>
          <w:sz w:val="22"/>
          <w:szCs w:val="22"/>
        </w:rPr>
        <w:t>15.00 – 19.0</w:t>
      </w:r>
      <w:r w:rsidR="0074788D">
        <w:rPr>
          <w:rFonts w:ascii="Tahoma" w:hAnsi="Tahoma" w:cs="Tahoma"/>
          <w:color w:val="1F497D"/>
          <w:sz w:val="22"/>
          <w:szCs w:val="22"/>
        </w:rPr>
        <w:t>0</w:t>
      </w:r>
    </w:p>
    <w:p w:rsidR="0074788D" w:rsidRPr="0074788D" w:rsidRDefault="0074788D" w:rsidP="0074788D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color w:val="1F497D"/>
          <w:sz w:val="22"/>
          <w:szCs w:val="22"/>
        </w:rPr>
      </w:pPr>
      <w:r w:rsidRPr="0074788D">
        <w:rPr>
          <w:rFonts w:ascii="Tahoma" w:hAnsi="Tahoma" w:cs="Tahoma"/>
          <w:color w:val="1F497D"/>
          <w:sz w:val="22"/>
          <w:szCs w:val="22"/>
        </w:rPr>
        <w:t>Domenica 9 ottobre 2016</w:t>
      </w:r>
    </w:p>
    <w:p w:rsidR="00360CBA" w:rsidRPr="00DD34AD" w:rsidRDefault="0074788D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ab/>
      </w:r>
      <w:r>
        <w:rPr>
          <w:rFonts w:ascii="Tahoma" w:hAnsi="Tahoma" w:cs="Tahoma"/>
          <w:color w:val="1F497D"/>
          <w:sz w:val="22"/>
          <w:szCs w:val="22"/>
        </w:rPr>
        <w:tab/>
        <w:t>Ore 9.00 – 13.00</w:t>
      </w:r>
      <w:r w:rsidR="00360CBA" w:rsidRPr="00DD34AD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360CBA" w:rsidRPr="00DD34AD" w:rsidRDefault="00360CBA" w:rsidP="00360CBA">
      <w:pPr>
        <w:jc w:val="both"/>
        <w:rPr>
          <w:rFonts w:ascii="Tahoma" w:hAnsi="Tahoma" w:cs="Tahoma"/>
          <w:b/>
          <w:color w:val="1F497D"/>
          <w:sz w:val="22"/>
          <w:szCs w:val="22"/>
        </w:rPr>
      </w:pPr>
    </w:p>
    <w:p w:rsidR="00360CBA" w:rsidRPr="00DD34A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 w:rsidRPr="00DD34AD">
        <w:rPr>
          <w:rFonts w:ascii="Tahoma" w:hAnsi="Tahoma" w:cs="Tahoma"/>
          <w:b/>
          <w:color w:val="1F497D"/>
          <w:sz w:val="22"/>
          <w:szCs w:val="22"/>
        </w:rPr>
        <w:t>Sede:</w:t>
      </w:r>
    </w:p>
    <w:p w:rsidR="00360CBA" w:rsidRDefault="0074788D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Centro congressi Ca’ del Poggio</w:t>
      </w:r>
    </w:p>
    <w:p w:rsidR="0074788D" w:rsidRDefault="0074788D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San Pietro di Feletto (Treviso), via dei Pascoli 8</w:t>
      </w:r>
    </w:p>
    <w:p w:rsidR="0074788D" w:rsidRPr="00DD34AD" w:rsidRDefault="0074788D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</w:p>
    <w:p w:rsidR="00360CBA" w:rsidRPr="00DD186B" w:rsidRDefault="00360CBA" w:rsidP="00360CBA">
      <w:pPr>
        <w:jc w:val="both"/>
        <w:rPr>
          <w:rFonts w:ascii="Tahoma" w:hAnsi="Tahoma" w:cs="Tahoma"/>
          <w:b/>
          <w:color w:val="1F497D"/>
          <w:sz w:val="22"/>
          <w:szCs w:val="22"/>
        </w:rPr>
      </w:pPr>
      <w:r w:rsidRPr="00DD186B">
        <w:rPr>
          <w:rFonts w:ascii="Tahoma" w:hAnsi="Tahoma" w:cs="Tahoma"/>
          <w:b/>
          <w:color w:val="1F497D"/>
          <w:sz w:val="22"/>
          <w:szCs w:val="22"/>
        </w:rPr>
        <w:t>Come raggiungere la sede:</w:t>
      </w:r>
    </w:p>
    <w:p w:rsidR="00360CBA" w:rsidRPr="00DD186B" w:rsidRDefault="00360CBA" w:rsidP="00360CBA">
      <w:pPr>
        <w:jc w:val="both"/>
        <w:rPr>
          <w:rFonts w:ascii="Tahoma" w:hAnsi="Tahoma" w:cs="Tahoma"/>
          <w:bCs/>
          <w:color w:val="1F497D"/>
          <w:sz w:val="22"/>
          <w:szCs w:val="22"/>
        </w:rPr>
      </w:pPr>
      <w:r w:rsidRPr="00DD186B">
        <w:rPr>
          <w:rFonts w:ascii="Tahoma" w:hAnsi="Tahoma" w:cs="Tahoma"/>
          <w:b/>
          <w:bCs/>
          <w:color w:val="1F497D"/>
          <w:sz w:val="22"/>
          <w:szCs w:val="22"/>
        </w:rPr>
        <w:t>In treno:</w:t>
      </w:r>
      <w:r w:rsidR="0074788D">
        <w:rPr>
          <w:rFonts w:ascii="Tahoma" w:hAnsi="Tahoma" w:cs="Tahoma"/>
          <w:bCs/>
          <w:color w:val="1F497D"/>
          <w:sz w:val="22"/>
          <w:szCs w:val="22"/>
        </w:rPr>
        <w:t xml:space="preserve"> Stazione di Conegliano, linea Venezia – Udine. Servizio taxi</w:t>
      </w:r>
    </w:p>
    <w:p w:rsidR="00360CBA" w:rsidRPr="00DD186B" w:rsidRDefault="00360CBA" w:rsidP="00360CBA">
      <w:pPr>
        <w:jc w:val="both"/>
        <w:rPr>
          <w:rFonts w:ascii="Tahoma" w:hAnsi="Tahoma" w:cs="Tahoma"/>
          <w:bCs/>
          <w:color w:val="1F497D"/>
          <w:sz w:val="22"/>
          <w:szCs w:val="22"/>
        </w:rPr>
      </w:pPr>
      <w:r w:rsidRPr="00DD186B">
        <w:rPr>
          <w:rFonts w:ascii="Tahoma" w:hAnsi="Tahoma" w:cs="Tahoma"/>
          <w:b/>
          <w:bCs/>
          <w:color w:val="1F497D"/>
          <w:sz w:val="22"/>
          <w:szCs w:val="22"/>
        </w:rPr>
        <w:t xml:space="preserve">In auto: </w:t>
      </w:r>
      <w:r w:rsidR="0074788D">
        <w:rPr>
          <w:rFonts w:ascii="Tahoma" w:hAnsi="Tahoma" w:cs="Tahoma"/>
          <w:bCs/>
          <w:color w:val="1F497D"/>
          <w:sz w:val="22"/>
          <w:szCs w:val="22"/>
        </w:rPr>
        <w:t xml:space="preserve">Autostrada A27 Venezia – Belluno, uscita </w:t>
      </w:r>
      <w:r w:rsidR="0022376A">
        <w:rPr>
          <w:rFonts w:ascii="Tahoma" w:hAnsi="Tahoma" w:cs="Tahoma"/>
          <w:bCs/>
          <w:color w:val="1F497D"/>
          <w:sz w:val="22"/>
          <w:szCs w:val="22"/>
        </w:rPr>
        <w:t>Vittorio Veneto Sud</w:t>
      </w:r>
      <w:r w:rsidR="0074788D">
        <w:rPr>
          <w:rFonts w:ascii="Tahoma" w:hAnsi="Tahoma" w:cs="Tahoma"/>
          <w:bCs/>
          <w:color w:val="1F497D"/>
          <w:sz w:val="22"/>
          <w:szCs w:val="22"/>
        </w:rPr>
        <w:t>.</w:t>
      </w:r>
    </w:p>
    <w:p w:rsidR="00360CBA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 w:rsidRPr="00DD186B">
        <w:rPr>
          <w:rFonts w:ascii="Tahoma" w:hAnsi="Tahoma" w:cs="Tahoma"/>
          <w:b/>
          <w:bCs/>
          <w:color w:val="1F497D"/>
          <w:sz w:val="22"/>
          <w:szCs w:val="22"/>
        </w:rPr>
        <w:t xml:space="preserve">Coordinate GPS: </w:t>
      </w:r>
      <w:proofErr w:type="spellStart"/>
      <w:r w:rsidRPr="00DD186B">
        <w:rPr>
          <w:rFonts w:ascii="Tahoma" w:hAnsi="Tahoma" w:cs="Tahoma"/>
          <w:color w:val="1F497D"/>
          <w:sz w:val="22"/>
          <w:szCs w:val="22"/>
        </w:rPr>
        <w:t>lat</w:t>
      </w:r>
      <w:proofErr w:type="spellEnd"/>
      <w:r w:rsidRPr="00DD186B">
        <w:rPr>
          <w:rFonts w:ascii="Tahoma" w:hAnsi="Tahoma" w:cs="Tahoma"/>
          <w:color w:val="1F497D"/>
          <w:sz w:val="22"/>
          <w:szCs w:val="22"/>
        </w:rPr>
        <w:t xml:space="preserve">. </w:t>
      </w:r>
      <w:r w:rsidR="0022376A" w:rsidRPr="0022376A">
        <w:rPr>
          <w:rFonts w:ascii="Tahoma" w:hAnsi="Tahoma" w:cs="Tahoma"/>
          <w:color w:val="1F497D"/>
          <w:sz w:val="22"/>
          <w:szCs w:val="22"/>
        </w:rPr>
        <w:t>45.9266002</w:t>
      </w:r>
      <w:r w:rsidR="0022376A">
        <w:rPr>
          <w:rFonts w:ascii="Tahoma" w:hAnsi="Tahoma" w:cs="Tahoma"/>
          <w:color w:val="1F497D"/>
          <w:sz w:val="22"/>
          <w:szCs w:val="22"/>
        </w:rPr>
        <w:t xml:space="preserve"> </w:t>
      </w:r>
      <w:r w:rsidRPr="00DD186B">
        <w:rPr>
          <w:rFonts w:ascii="Tahoma" w:hAnsi="Tahoma" w:cs="Tahoma"/>
          <w:color w:val="1F497D"/>
          <w:sz w:val="22"/>
          <w:szCs w:val="22"/>
        </w:rPr>
        <w:t xml:space="preserve">- long. </w:t>
      </w:r>
      <w:r w:rsidR="0022376A" w:rsidRPr="0022376A">
        <w:rPr>
          <w:rFonts w:ascii="Tahoma" w:hAnsi="Tahoma" w:cs="Tahoma"/>
          <w:color w:val="1F497D"/>
          <w:sz w:val="22"/>
          <w:szCs w:val="22"/>
        </w:rPr>
        <w:t>12.251031099999977</w:t>
      </w:r>
    </w:p>
    <w:p w:rsidR="0022376A" w:rsidRPr="00DD186B" w:rsidRDefault="0022376A" w:rsidP="00360CBA">
      <w:pPr>
        <w:jc w:val="both"/>
        <w:rPr>
          <w:rFonts w:ascii="Tahoma" w:hAnsi="Tahoma" w:cs="Tahoma"/>
          <w:b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</w:rPr>
        <w:t>Il centro congressi dispone di ampio parcheggio gratuito</w:t>
      </w:r>
    </w:p>
    <w:p w:rsidR="00360CBA" w:rsidRPr="00DD34A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</w:p>
    <w:p w:rsidR="00360CBA" w:rsidRPr="00DD34AD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 w:rsidRPr="00DD34AD">
        <w:rPr>
          <w:rFonts w:ascii="Tahoma" w:hAnsi="Tahoma" w:cs="Tahoma"/>
          <w:b/>
          <w:color w:val="1F497D"/>
          <w:sz w:val="22"/>
          <w:szCs w:val="22"/>
        </w:rPr>
        <w:t>Modalità di iscrizione:</w:t>
      </w:r>
    </w:p>
    <w:p w:rsidR="00360CBA" w:rsidRDefault="00360CBA" w:rsidP="00360CBA">
      <w:pPr>
        <w:jc w:val="both"/>
        <w:rPr>
          <w:rFonts w:ascii="Tahoma" w:hAnsi="Tahoma" w:cs="Tahoma"/>
          <w:color w:val="1F497D"/>
          <w:sz w:val="22"/>
          <w:szCs w:val="22"/>
        </w:rPr>
      </w:pPr>
      <w:r w:rsidRPr="00DD34AD">
        <w:rPr>
          <w:rFonts w:ascii="Tahoma" w:hAnsi="Tahoma" w:cs="Tahoma"/>
          <w:color w:val="1F497D"/>
          <w:sz w:val="22"/>
          <w:szCs w:val="22"/>
        </w:rPr>
        <w:t xml:space="preserve">La scheda di iscrizione è scaricabile dal sito </w:t>
      </w:r>
      <w:hyperlink r:id="rId6" w:history="1">
        <w:r w:rsidRPr="0072592B">
          <w:rPr>
            <w:rStyle w:val="Collegamentoipertestuale"/>
            <w:rFonts w:ascii="Tahoma" w:hAnsi="Tahoma" w:cs="Tahoma"/>
            <w:sz w:val="22"/>
            <w:szCs w:val="22"/>
          </w:rPr>
          <w:t>www.mediacampus.it</w:t>
        </w:r>
      </w:hyperlink>
    </w:p>
    <w:p w:rsidR="0022376A" w:rsidRPr="0022376A" w:rsidRDefault="0022376A" w:rsidP="00360CBA">
      <w:pPr>
        <w:jc w:val="both"/>
        <w:rPr>
          <w:rFonts w:ascii="Tahoma" w:hAnsi="Tahoma" w:cs="Tahoma"/>
          <w:color w:val="44546A"/>
          <w:sz w:val="22"/>
          <w:szCs w:val="22"/>
        </w:rPr>
      </w:pPr>
    </w:p>
    <w:p w:rsidR="0022376A" w:rsidRDefault="0022376A" w:rsidP="00360CBA">
      <w:pPr>
        <w:jc w:val="both"/>
        <w:rPr>
          <w:rFonts w:ascii="Tahoma" w:hAnsi="Tahoma" w:cs="Tahoma"/>
          <w:b/>
          <w:color w:val="44546A"/>
          <w:sz w:val="22"/>
          <w:szCs w:val="22"/>
        </w:rPr>
      </w:pPr>
    </w:p>
    <w:p w:rsidR="0022376A" w:rsidRDefault="0022376A" w:rsidP="00360CBA">
      <w:pPr>
        <w:jc w:val="both"/>
        <w:rPr>
          <w:rFonts w:ascii="Tahoma" w:hAnsi="Tahoma" w:cs="Tahoma"/>
          <w:b/>
          <w:color w:val="44546A"/>
          <w:sz w:val="22"/>
          <w:szCs w:val="22"/>
        </w:rPr>
      </w:pPr>
    </w:p>
    <w:p w:rsidR="0022376A" w:rsidRDefault="0022376A" w:rsidP="00360CBA">
      <w:pPr>
        <w:jc w:val="both"/>
        <w:rPr>
          <w:rFonts w:ascii="Tahoma" w:hAnsi="Tahoma" w:cs="Tahoma"/>
          <w:b/>
          <w:color w:val="44546A"/>
          <w:sz w:val="22"/>
          <w:szCs w:val="22"/>
        </w:rPr>
      </w:pPr>
    </w:p>
    <w:p w:rsidR="0022376A" w:rsidRDefault="0022376A" w:rsidP="00360CBA">
      <w:pPr>
        <w:jc w:val="both"/>
        <w:rPr>
          <w:rFonts w:ascii="Tahoma" w:hAnsi="Tahoma" w:cs="Tahoma"/>
          <w:b/>
          <w:color w:val="44546A"/>
          <w:sz w:val="22"/>
          <w:szCs w:val="22"/>
        </w:rPr>
      </w:pPr>
    </w:p>
    <w:p w:rsidR="0022376A" w:rsidRDefault="0022376A" w:rsidP="00360CBA">
      <w:pPr>
        <w:jc w:val="both"/>
        <w:rPr>
          <w:rFonts w:ascii="Tahoma" w:hAnsi="Tahoma" w:cs="Tahoma"/>
          <w:b/>
          <w:color w:val="44546A"/>
          <w:sz w:val="22"/>
          <w:szCs w:val="22"/>
        </w:rPr>
      </w:pPr>
    </w:p>
    <w:p w:rsidR="00360CBA" w:rsidRPr="0022376A" w:rsidRDefault="00360CBA" w:rsidP="00360CBA">
      <w:pPr>
        <w:jc w:val="both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22376A">
        <w:rPr>
          <w:rFonts w:ascii="Tahoma" w:hAnsi="Tahoma" w:cs="Tahoma"/>
          <w:b/>
          <w:color w:val="1F497D" w:themeColor="text2"/>
          <w:sz w:val="22"/>
          <w:szCs w:val="22"/>
        </w:rPr>
        <w:t>Quote di iscrizione:</w:t>
      </w:r>
    </w:p>
    <w:p w:rsidR="00360CBA" w:rsidRPr="0022376A" w:rsidRDefault="00360CBA" w:rsidP="00360CBA">
      <w:pPr>
        <w:jc w:val="both"/>
        <w:rPr>
          <w:rFonts w:ascii="Tahoma" w:hAnsi="Tahoma" w:cs="Tahoma"/>
          <w:b/>
          <w:color w:val="1F497D" w:themeColor="text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3"/>
        <w:gridCol w:w="4923"/>
      </w:tblGrid>
      <w:tr w:rsidR="00360CBA" w:rsidRPr="0022376A" w:rsidTr="00752465">
        <w:tc>
          <w:tcPr>
            <w:tcW w:w="49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360CBA" w:rsidRPr="0022376A" w:rsidRDefault="00360CB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b/>
                <w:i/>
                <w:iCs/>
                <w:color w:val="1F497D" w:themeColor="text2"/>
                <w:sz w:val="22"/>
                <w:szCs w:val="22"/>
              </w:rPr>
              <w:t>Professione</w:t>
            </w: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360CBA" w:rsidRPr="0022376A" w:rsidRDefault="001A41F8" w:rsidP="00752465">
            <w:pPr>
              <w:rPr>
                <w:rFonts w:ascii="Tahoma" w:hAnsi="Tahoma" w:cs="Tahoma"/>
                <w:b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Avvocati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BA" w:rsidRPr="0022376A" w:rsidRDefault="00360CB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b/>
                <w:i/>
                <w:iCs/>
                <w:color w:val="1F497D" w:themeColor="text2"/>
                <w:sz w:val="22"/>
                <w:szCs w:val="22"/>
              </w:rPr>
              <w:t>Quota di partecipazione</w:t>
            </w:r>
          </w:p>
          <w:p w:rsidR="00360CBA" w:rsidRPr="0022376A" w:rsidRDefault="00360CB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 xml:space="preserve">Euro </w:t>
            </w:r>
            <w:r w:rsidR="0022376A"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1.000</w:t>
            </w: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,00 più IVA</w:t>
            </w:r>
          </w:p>
          <w:p w:rsidR="0022376A" w:rsidRDefault="0022376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</w:p>
          <w:p w:rsidR="0022376A" w:rsidRDefault="0022376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Comprensivi di:</w:t>
            </w:r>
          </w:p>
          <w:p w:rsidR="0022376A" w:rsidRDefault="0022376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Corso di formazione di ore 16</w:t>
            </w:r>
          </w:p>
          <w:p w:rsidR="0022376A" w:rsidRDefault="0022376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2 pernottamenti in camera standard</w:t>
            </w:r>
          </w:p>
          <w:p w:rsidR="0022376A" w:rsidRDefault="0022376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3 pranzi a buffet</w:t>
            </w:r>
          </w:p>
          <w:p w:rsidR="0022376A" w:rsidRDefault="0022376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1 cena</w:t>
            </w:r>
          </w:p>
          <w:p w:rsidR="0022376A" w:rsidRPr="0022376A" w:rsidRDefault="0022376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1 cena di gala</w:t>
            </w:r>
          </w:p>
          <w:p w:rsidR="0022376A" w:rsidRPr="0022376A" w:rsidRDefault="0022376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</w:p>
          <w:p w:rsidR="00360CBA" w:rsidRPr="0022376A" w:rsidRDefault="00360CBA" w:rsidP="00752465">
            <w:pPr>
              <w:rPr>
                <w:rFonts w:ascii="Tahoma" w:hAnsi="Tahoma" w:cs="Tahoma"/>
                <w:i/>
                <w:iCs/>
                <w:color w:val="1F497D" w:themeColor="text2"/>
              </w:rPr>
            </w:pP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 xml:space="preserve">Da versarsi con bonifico bancario </w:t>
            </w:r>
          </w:p>
          <w:p w:rsidR="00360CBA" w:rsidRPr="0022376A" w:rsidRDefault="00360CBA" w:rsidP="00752465">
            <w:pPr>
              <w:rPr>
                <w:rFonts w:ascii="Tahoma" w:hAnsi="Tahoma" w:cs="Tahoma"/>
                <w:i/>
                <w:iCs/>
                <w:color w:val="1F497D" w:themeColor="text2"/>
              </w:rPr>
            </w:pPr>
          </w:p>
        </w:tc>
      </w:tr>
      <w:tr w:rsidR="002023C7" w:rsidRPr="0022376A" w:rsidTr="00BA7805">
        <w:tc>
          <w:tcPr>
            <w:tcW w:w="49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2023C7" w:rsidRPr="0022376A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b/>
                <w:i/>
                <w:iCs/>
                <w:color w:val="1F497D" w:themeColor="text2"/>
                <w:sz w:val="22"/>
                <w:szCs w:val="22"/>
              </w:rPr>
              <w:t>Professione</w:t>
            </w: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2023C7" w:rsidRPr="0022376A" w:rsidRDefault="002023C7" w:rsidP="00BA7805">
            <w:pPr>
              <w:rPr>
                <w:rFonts w:ascii="Tahoma" w:hAnsi="Tahoma" w:cs="Tahoma"/>
                <w:b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Avvocati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C7" w:rsidRPr="0022376A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b/>
                <w:i/>
                <w:iCs/>
                <w:color w:val="1F497D" w:themeColor="text2"/>
                <w:sz w:val="22"/>
                <w:szCs w:val="22"/>
              </w:rPr>
              <w:t>Quota di partecipazione</w:t>
            </w:r>
          </w:p>
          <w:p w:rsidR="002023C7" w:rsidRPr="0022376A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 xml:space="preserve">Euro </w:t>
            </w: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8</w:t>
            </w: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00,00 più IVA</w:t>
            </w:r>
          </w:p>
          <w:p w:rsidR="002023C7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</w:p>
          <w:p w:rsidR="002023C7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Comprensivi di:</w:t>
            </w:r>
          </w:p>
          <w:p w:rsidR="002023C7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Corso di formazione di ore 16</w:t>
            </w:r>
          </w:p>
          <w:p w:rsidR="002023C7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3 pranzi a buffet</w:t>
            </w:r>
          </w:p>
          <w:p w:rsidR="002023C7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1 cena</w:t>
            </w:r>
          </w:p>
          <w:p w:rsidR="002023C7" w:rsidRPr="0022376A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1 cena di gala</w:t>
            </w:r>
          </w:p>
          <w:p w:rsidR="002023C7" w:rsidRPr="0022376A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</w:p>
          <w:p w:rsidR="002023C7" w:rsidRPr="0022376A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</w:rPr>
            </w:pP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 xml:space="preserve">Da versarsi con bonifico bancario </w:t>
            </w:r>
          </w:p>
          <w:p w:rsidR="002023C7" w:rsidRPr="0022376A" w:rsidRDefault="002023C7" w:rsidP="00BA7805">
            <w:pPr>
              <w:rPr>
                <w:rFonts w:ascii="Tahoma" w:hAnsi="Tahoma" w:cs="Tahoma"/>
                <w:i/>
                <w:iCs/>
                <w:color w:val="1F497D" w:themeColor="text2"/>
              </w:rPr>
            </w:pPr>
          </w:p>
        </w:tc>
      </w:tr>
    </w:tbl>
    <w:p w:rsidR="00360CBA" w:rsidRPr="0022376A" w:rsidRDefault="00360CBA" w:rsidP="00360CBA">
      <w:pPr>
        <w:jc w:val="both"/>
        <w:rPr>
          <w:rFonts w:ascii="Tahoma" w:hAnsi="Tahoma" w:cs="Tahoma"/>
          <w:b/>
          <w:color w:val="1F497D" w:themeColor="text2"/>
          <w:sz w:val="22"/>
          <w:szCs w:val="22"/>
        </w:rPr>
      </w:pPr>
    </w:p>
    <w:p w:rsidR="0022376A" w:rsidRDefault="0022376A" w:rsidP="00360CBA">
      <w:pPr>
        <w:jc w:val="both"/>
        <w:rPr>
          <w:rFonts w:ascii="Tahoma" w:hAnsi="Tahoma" w:cs="Tahoma"/>
          <w:b/>
          <w:color w:val="1F497D" w:themeColor="text2"/>
          <w:sz w:val="22"/>
          <w:szCs w:val="22"/>
        </w:rPr>
      </w:pPr>
    </w:p>
    <w:p w:rsidR="00360CBA" w:rsidRPr="0022376A" w:rsidRDefault="00360CBA" w:rsidP="00360CBA">
      <w:pPr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22376A">
        <w:rPr>
          <w:rFonts w:ascii="Tahoma" w:hAnsi="Tahoma" w:cs="Tahoma"/>
          <w:b/>
          <w:color w:val="1F497D" w:themeColor="text2"/>
          <w:sz w:val="22"/>
          <w:szCs w:val="22"/>
        </w:rPr>
        <w:t>Informazioni:</w:t>
      </w:r>
    </w:p>
    <w:p w:rsidR="00360CBA" w:rsidRPr="0022376A" w:rsidRDefault="00360CBA" w:rsidP="00360CBA">
      <w:pPr>
        <w:jc w:val="both"/>
        <w:rPr>
          <w:rFonts w:ascii="Tahoma" w:hAnsi="Tahoma" w:cs="Tahoma"/>
          <w:color w:val="1F497D" w:themeColor="text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18"/>
      </w:tblGrid>
      <w:tr w:rsidR="00360CBA" w:rsidRPr="0022376A" w:rsidTr="00752465">
        <w:tc>
          <w:tcPr>
            <w:tcW w:w="492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360CBA" w:rsidRPr="0022376A" w:rsidRDefault="00360CB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22376A">
              <w:rPr>
                <w:rFonts w:ascii="Tahoma" w:hAnsi="Tahoma" w:cs="Tahoma"/>
                <w:b/>
                <w:i/>
                <w:iCs/>
                <w:color w:val="1F497D" w:themeColor="text2"/>
                <w:sz w:val="22"/>
                <w:szCs w:val="22"/>
              </w:rPr>
              <w:t>Mediacampus</w:t>
            </w:r>
            <w:proofErr w:type="spellEnd"/>
            <w:r w:rsidRPr="0022376A">
              <w:rPr>
                <w:rFonts w:ascii="Tahoma" w:hAnsi="Tahoma" w:cs="Tahoma"/>
                <w:b/>
                <w:i/>
                <w:iCs/>
                <w:color w:val="1F497D" w:themeColor="text2"/>
                <w:sz w:val="22"/>
                <w:szCs w:val="22"/>
              </w:rPr>
              <w:t xml:space="preserve"> Formazione giuridica</w:t>
            </w:r>
          </w:p>
          <w:p w:rsidR="00360CBA" w:rsidRPr="0022376A" w:rsidRDefault="00360CB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Via Scrovegni 29/B</w:t>
            </w:r>
          </w:p>
          <w:p w:rsidR="00360CBA" w:rsidRPr="0022376A" w:rsidRDefault="00360CB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Padova</w:t>
            </w:r>
          </w:p>
          <w:p w:rsidR="00360CBA" w:rsidRPr="0022376A" w:rsidRDefault="00360CBA" w:rsidP="00752465">
            <w:pPr>
              <w:rPr>
                <w:rFonts w:ascii="Tahoma" w:hAnsi="Tahoma" w:cs="Tahoma"/>
                <w:color w:val="1F497D" w:themeColor="text2"/>
                <w:sz w:val="22"/>
                <w:szCs w:val="22"/>
              </w:rPr>
            </w:pPr>
            <w:r w:rsidRPr="0022376A"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  <w:t>049-8783421</w:t>
            </w:r>
          </w:p>
          <w:p w:rsidR="00360CBA" w:rsidRPr="0022376A" w:rsidRDefault="002023C7" w:rsidP="0022376A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  <w:hyperlink r:id="rId7" w:history="1">
              <w:r w:rsidR="00360CBA" w:rsidRPr="0022376A">
                <w:rPr>
                  <w:rStyle w:val="Collegamentoipertestuale"/>
                  <w:rFonts w:ascii="Tahoma" w:hAnsi="Tahoma" w:cs="Tahoma"/>
                  <w:color w:val="1F497D" w:themeColor="text2"/>
                  <w:sz w:val="22"/>
                  <w:szCs w:val="22"/>
                </w:rPr>
                <w:t>www.mediacampus.it</w:t>
              </w:r>
            </w:hyperlink>
          </w:p>
        </w:tc>
        <w:tc>
          <w:tcPr>
            <w:tcW w:w="49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CBA" w:rsidRPr="0022376A" w:rsidRDefault="00360CBA" w:rsidP="00752465">
            <w:pPr>
              <w:rPr>
                <w:rFonts w:ascii="Tahoma" w:hAnsi="Tahoma" w:cs="Tahoma"/>
                <w:i/>
                <w:iCs/>
                <w:color w:val="1F497D" w:themeColor="text2"/>
                <w:sz w:val="22"/>
                <w:szCs w:val="22"/>
              </w:rPr>
            </w:pPr>
          </w:p>
        </w:tc>
      </w:tr>
    </w:tbl>
    <w:p w:rsidR="00360CBA" w:rsidRPr="0022376A" w:rsidRDefault="00360CBA" w:rsidP="00360CBA">
      <w:pPr>
        <w:rPr>
          <w:color w:val="1F497D" w:themeColor="text2"/>
        </w:rPr>
      </w:pPr>
    </w:p>
    <w:p w:rsidR="00C43343" w:rsidRPr="0022376A" w:rsidRDefault="00C43343">
      <w:pPr>
        <w:rPr>
          <w:color w:val="1F497D" w:themeColor="text2"/>
        </w:rPr>
      </w:pPr>
    </w:p>
    <w:sectPr w:rsidR="00C43343" w:rsidRPr="0022376A"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52F"/>
    <w:multiLevelType w:val="hybridMultilevel"/>
    <w:tmpl w:val="AD6E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067"/>
    <w:multiLevelType w:val="hybridMultilevel"/>
    <w:tmpl w:val="E6B08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0973AD"/>
    <w:multiLevelType w:val="hybridMultilevel"/>
    <w:tmpl w:val="C6C29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06FAC"/>
    <w:multiLevelType w:val="hybridMultilevel"/>
    <w:tmpl w:val="F3A6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55BA2"/>
    <w:multiLevelType w:val="hybridMultilevel"/>
    <w:tmpl w:val="57F02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BA"/>
    <w:rsid w:val="001A41F8"/>
    <w:rsid w:val="002023C7"/>
    <w:rsid w:val="0022376A"/>
    <w:rsid w:val="00360CBA"/>
    <w:rsid w:val="007043C5"/>
    <w:rsid w:val="0074788D"/>
    <w:rsid w:val="00C43343"/>
    <w:rsid w:val="00E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0CBA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74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0CBA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74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iacampus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campu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4</cp:revision>
  <dcterms:created xsi:type="dcterms:W3CDTF">2016-07-20T11:33:00Z</dcterms:created>
  <dcterms:modified xsi:type="dcterms:W3CDTF">2016-09-12T15:10:00Z</dcterms:modified>
</cp:coreProperties>
</file>