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5AF2A" w14:textId="075D18F0" w:rsidR="000E683A" w:rsidRDefault="000E683A" w:rsidP="00D62BB7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 wp14:anchorId="19926D9B" wp14:editId="457720A0">
            <wp:extent cx="3238500" cy="97141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OVO MARCHIO SHARECOM GRIGI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530" cy="9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A5C48" w14:textId="77777777" w:rsidR="000E683A" w:rsidRDefault="000E683A" w:rsidP="00D62BB7">
      <w:pPr>
        <w:jc w:val="center"/>
        <w:rPr>
          <w:b/>
          <w:bCs/>
          <w:sz w:val="28"/>
        </w:rPr>
      </w:pPr>
    </w:p>
    <w:p w14:paraId="7F9D12CC" w14:textId="008DACC9" w:rsidR="00D62BB7" w:rsidRPr="00D62BB7" w:rsidRDefault="00D62BB7" w:rsidP="00D62BB7">
      <w:pPr>
        <w:jc w:val="center"/>
        <w:rPr>
          <w:b/>
          <w:bCs/>
          <w:sz w:val="28"/>
        </w:rPr>
      </w:pPr>
      <w:r w:rsidRPr="00D62BB7">
        <w:rPr>
          <w:b/>
          <w:bCs/>
          <w:sz w:val="28"/>
        </w:rPr>
        <w:t xml:space="preserve">Master </w:t>
      </w:r>
      <w:r w:rsidR="000E683A">
        <w:rPr>
          <w:b/>
          <w:bCs/>
          <w:sz w:val="28"/>
        </w:rPr>
        <w:t xml:space="preserve">breve </w:t>
      </w:r>
      <w:r w:rsidRPr="00D62BB7">
        <w:rPr>
          <w:b/>
          <w:bCs/>
          <w:sz w:val="28"/>
        </w:rPr>
        <w:t>contrattualistica internazionale</w:t>
      </w:r>
    </w:p>
    <w:p w14:paraId="08545A19" w14:textId="5BC10E0B" w:rsidR="00D62BB7" w:rsidRPr="00D62BB7" w:rsidRDefault="00D62BB7" w:rsidP="00D62BB7">
      <w:pPr>
        <w:jc w:val="center"/>
        <w:rPr>
          <w:rFonts w:ascii="Verdana" w:hAnsi="Verdana"/>
          <w:bCs/>
          <w:sz w:val="20"/>
          <w:szCs w:val="20"/>
        </w:rPr>
      </w:pPr>
      <w:r w:rsidRPr="00D62BB7">
        <w:rPr>
          <w:rFonts w:ascii="Verdana" w:hAnsi="Verdana"/>
          <w:bCs/>
          <w:sz w:val="20"/>
          <w:szCs w:val="20"/>
        </w:rPr>
        <w:t>Modena</w:t>
      </w:r>
    </w:p>
    <w:p w14:paraId="1844A7E5" w14:textId="6C1CCB13" w:rsidR="00D62BB7" w:rsidRPr="00D62BB7" w:rsidRDefault="00D62BB7" w:rsidP="00D62BB7">
      <w:pPr>
        <w:jc w:val="center"/>
        <w:rPr>
          <w:rFonts w:ascii="Verdana" w:hAnsi="Verdana"/>
          <w:bCs/>
          <w:sz w:val="20"/>
          <w:szCs w:val="20"/>
        </w:rPr>
      </w:pPr>
      <w:r w:rsidRPr="00D62BB7">
        <w:rPr>
          <w:rFonts w:ascii="Verdana" w:hAnsi="Verdana"/>
          <w:bCs/>
          <w:sz w:val="20"/>
          <w:szCs w:val="20"/>
        </w:rPr>
        <w:t xml:space="preserve">13/20/27 </w:t>
      </w:r>
      <w:proofErr w:type="gramStart"/>
      <w:r w:rsidRPr="00D62BB7">
        <w:rPr>
          <w:rFonts w:ascii="Verdana" w:hAnsi="Verdana"/>
          <w:bCs/>
          <w:sz w:val="20"/>
          <w:szCs w:val="20"/>
        </w:rPr>
        <w:t>Aprile</w:t>
      </w:r>
      <w:proofErr w:type="gramEnd"/>
      <w:r w:rsidRPr="00D62BB7">
        <w:rPr>
          <w:rFonts w:ascii="Verdana" w:hAnsi="Verdana"/>
          <w:bCs/>
          <w:sz w:val="20"/>
          <w:szCs w:val="20"/>
        </w:rPr>
        <w:t xml:space="preserve"> 4 Maggio 2018 dalle ore 14.30 alle ore 18.30</w:t>
      </w:r>
    </w:p>
    <w:p w14:paraId="27A77B8F" w14:textId="47015897" w:rsidR="00D62BB7" w:rsidRPr="00D62BB7" w:rsidRDefault="00D62BB7" w:rsidP="00D62BB7">
      <w:pPr>
        <w:jc w:val="center"/>
        <w:rPr>
          <w:rFonts w:ascii="Verdana" w:hAnsi="Verdana"/>
          <w:bCs/>
          <w:sz w:val="20"/>
          <w:szCs w:val="20"/>
        </w:rPr>
      </w:pPr>
      <w:r w:rsidRPr="00D62BB7">
        <w:rPr>
          <w:rFonts w:ascii="Verdana" w:hAnsi="Verdana"/>
          <w:bCs/>
          <w:sz w:val="20"/>
          <w:szCs w:val="20"/>
        </w:rPr>
        <w:t xml:space="preserve">Docenti: Avv. Andrea </w:t>
      </w:r>
      <w:proofErr w:type="spellStart"/>
      <w:r w:rsidRPr="00D62BB7">
        <w:rPr>
          <w:rFonts w:ascii="Verdana" w:hAnsi="Verdana"/>
          <w:bCs/>
          <w:sz w:val="20"/>
          <w:szCs w:val="20"/>
        </w:rPr>
        <w:t>Sganzerla</w:t>
      </w:r>
      <w:proofErr w:type="spellEnd"/>
      <w:r w:rsidRPr="00D62BB7">
        <w:rPr>
          <w:rFonts w:ascii="Verdana" w:hAnsi="Verdana"/>
          <w:bCs/>
          <w:sz w:val="20"/>
          <w:szCs w:val="20"/>
        </w:rPr>
        <w:t xml:space="preserve">, Avv. Maura </w:t>
      </w:r>
      <w:proofErr w:type="spellStart"/>
      <w:r w:rsidRPr="00D62BB7">
        <w:rPr>
          <w:rFonts w:ascii="Verdana" w:hAnsi="Verdana"/>
          <w:bCs/>
          <w:sz w:val="20"/>
          <w:szCs w:val="20"/>
        </w:rPr>
        <w:t>Alessandri</w:t>
      </w:r>
      <w:proofErr w:type="spellEnd"/>
      <w:r w:rsidRPr="00D62BB7">
        <w:rPr>
          <w:rFonts w:ascii="Verdana" w:hAnsi="Verdana"/>
          <w:bCs/>
          <w:sz w:val="20"/>
          <w:szCs w:val="20"/>
        </w:rPr>
        <w:t xml:space="preserve">, Avv. Elena Baroni, Avv. Sofia </w:t>
      </w:r>
      <w:proofErr w:type="spellStart"/>
      <w:r w:rsidRPr="00D62BB7">
        <w:rPr>
          <w:rFonts w:ascii="Verdana" w:hAnsi="Verdana"/>
          <w:bCs/>
          <w:sz w:val="20"/>
          <w:szCs w:val="20"/>
        </w:rPr>
        <w:t>Parastatidou</w:t>
      </w:r>
      <w:proofErr w:type="spellEnd"/>
    </w:p>
    <w:p w14:paraId="19B082A8" w14:textId="5EEB3185" w:rsidR="00D62BB7" w:rsidRPr="00D62BB7" w:rsidRDefault="00D62BB7" w:rsidP="00D62BB7">
      <w:pPr>
        <w:rPr>
          <w:rFonts w:ascii="Verdana" w:hAnsi="Verdana"/>
          <w:bCs/>
          <w:sz w:val="20"/>
          <w:szCs w:val="20"/>
        </w:rPr>
      </w:pPr>
      <w:r w:rsidRPr="00D62BB7">
        <w:rPr>
          <w:rFonts w:ascii="Verdana" w:hAnsi="Verdana"/>
          <w:bCs/>
          <w:sz w:val="20"/>
          <w:szCs w:val="20"/>
        </w:rPr>
        <w:t>Programma:</w:t>
      </w:r>
    </w:p>
    <w:p w14:paraId="63E8BC4F" w14:textId="178BE3AD" w:rsidR="000E683A" w:rsidRPr="000E683A" w:rsidRDefault="000E683A" w:rsidP="00D62BB7">
      <w:pPr>
        <w:spacing w:after="0" w:line="240" w:lineRule="auto"/>
        <w:rPr>
          <w:rFonts w:ascii="Verdana" w:hAnsi="Verdana"/>
          <w:bCs/>
          <w:sz w:val="20"/>
          <w:szCs w:val="20"/>
          <w:u w:val="single"/>
        </w:rPr>
      </w:pPr>
      <w:r w:rsidRPr="000E683A">
        <w:rPr>
          <w:rFonts w:ascii="Verdana" w:hAnsi="Verdana"/>
          <w:bCs/>
          <w:sz w:val="20"/>
          <w:szCs w:val="20"/>
          <w:u w:val="single"/>
        </w:rPr>
        <w:t>Prima giornata</w:t>
      </w:r>
    </w:p>
    <w:p w14:paraId="4CE73339" w14:textId="792D8F8B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b/>
          <w:bCs/>
          <w:sz w:val="20"/>
          <w:szCs w:val="20"/>
        </w:rPr>
        <w:t>Contratti internazionali in genere</w:t>
      </w:r>
    </w:p>
    <w:p w14:paraId="0BE700B8" w14:textId="77777777" w:rsidR="000E683A" w:rsidRDefault="000E683A" w:rsidP="00D62BB7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5CA4EE3E" w14:textId="465A2916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b/>
          <w:bCs/>
          <w:sz w:val="20"/>
          <w:szCs w:val="20"/>
        </w:rPr>
        <w:t>La struttura dei contratti internazionali</w:t>
      </w:r>
    </w:p>
    <w:p w14:paraId="3E54A6E0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-lo scopo del contratto</w:t>
      </w:r>
    </w:p>
    <w:p w14:paraId="5092BDDC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 xml:space="preserve">-premesse </w:t>
      </w:r>
      <w:proofErr w:type="spellStart"/>
      <w:r w:rsidRPr="00D62BB7">
        <w:rPr>
          <w:rFonts w:ascii="Verdana" w:hAnsi="Verdana"/>
          <w:sz w:val="20"/>
          <w:szCs w:val="20"/>
        </w:rPr>
        <w:t>edefinizione</w:t>
      </w:r>
      <w:proofErr w:type="spellEnd"/>
      <w:r w:rsidRPr="00D62BB7">
        <w:rPr>
          <w:rFonts w:ascii="Verdana" w:hAnsi="Verdana"/>
          <w:sz w:val="20"/>
          <w:szCs w:val="20"/>
        </w:rPr>
        <w:t xml:space="preserve"> degli obiettivi</w:t>
      </w:r>
    </w:p>
    <w:p w14:paraId="288A7CA3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-completezza e chiarezza del testo contrattuale</w:t>
      </w:r>
    </w:p>
    <w:p w14:paraId="63DC3947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 xml:space="preserve">-stipulazione </w:t>
      </w:r>
    </w:p>
    <w:p w14:paraId="128E3E40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-fase esecutiva del contratto</w:t>
      </w:r>
    </w:p>
    <w:p w14:paraId="75F6CE7A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-garanzie generali e specifiche</w:t>
      </w:r>
    </w:p>
    <w:p w14:paraId="185C0520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 xml:space="preserve">-i limiti nell'autonomia delle parti </w:t>
      </w:r>
    </w:p>
    <w:p w14:paraId="1D3D5832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-scelta del diritto applicabile e del foro competente</w:t>
      </w:r>
    </w:p>
    <w:p w14:paraId="556D3926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 xml:space="preserve">-convenzioni internazionali e princìpi </w:t>
      </w:r>
      <w:proofErr w:type="spellStart"/>
      <w:r w:rsidRPr="00D62BB7">
        <w:rPr>
          <w:rFonts w:ascii="Verdana" w:hAnsi="Verdana"/>
          <w:sz w:val="20"/>
          <w:szCs w:val="20"/>
        </w:rPr>
        <w:t>Unidroit</w:t>
      </w:r>
      <w:proofErr w:type="spellEnd"/>
    </w:p>
    <w:p w14:paraId="5A364F7A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-metodi alternativi di risoluzione delle controversie</w:t>
      </w:r>
    </w:p>
    <w:p w14:paraId="4D34AF15" w14:textId="77777777" w:rsidR="000E683A" w:rsidRDefault="000E683A" w:rsidP="00D62BB7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093F201" w14:textId="062B7BAF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b/>
          <w:bCs/>
          <w:sz w:val="20"/>
          <w:szCs w:val="20"/>
        </w:rPr>
        <w:t xml:space="preserve">Le fasi della negoziazione nella contrattazione internazionale     </w:t>
      </w:r>
    </w:p>
    <w:p w14:paraId="76B805C6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-le responsabilità precontrattuali</w:t>
      </w:r>
    </w:p>
    <w:p w14:paraId="0CC26F0D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-garanzie</w:t>
      </w:r>
    </w:p>
    <w:p w14:paraId="1A2AEB6A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-i documenti</w:t>
      </w:r>
    </w:p>
    <w:p w14:paraId="7B9602FE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-gli impegni precontrattuali</w:t>
      </w:r>
    </w:p>
    <w:p w14:paraId="44FDC109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</w:t>
      </w:r>
      <w:proofErr w:type="spellStart"/>
      <w:r w:rsidRPr="00D62BB7">
        <w:rPr>
          <w:rFonts w:ascii="Verdana" w:hAnsi="Verdana"/>
          <w:sz w:val="20"/>
          <w:szCs w:val="20"/>
        </w:rPr>
        <w:t>confidentiality</w:t>
      </w:r>
      <w:proofErr w:type="spellEnd"/>
      <w:r w:rsidRPr="00D62BB7">
        <w:rPr>
          <w:rFonts w:ascii="Verdana" w:hAnsi="Verdana"/>
          <w:sz w:val="20"/>
          <w:szCs w:val="20"/>
        </w:rPr>
        <w:t xml:space="preserve"> </w:t>
      </w:r>
      <w:proofErr w:type="spellStart"/>
      <w:r w:rsidRPr="00D62BB7">
        <w:rPr>
          <w:rFonts w:ascii="Verdana" w:hAnsi="Verdana"/>
          <w:sz w:val="20"/>
          <w:szCs w:val="20"/>
        </w:rPr>
        <w:t>agreement</w:t>
      </w:r>
      <w:proofErr w:type="spellEnd"/>
    </w:p>
    <w:p w14:paraId="55E34C5C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-lettere d’intenti</w:t>
      </w:r>
    </w:p>
    <w:p w14:paraId="0BF55A50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-contratti preliminari</w:t>
      </w:r>
    </w:p>
    <w:p w14:paraId="5E967053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-accordi normativi</w:t>
      </w:r>
    </w:p>
    <w:p w14:paraId="4C600202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-accordi quadro</w:t>
      </w:r>
    </w:p>
    <w:p w14:paraId="1A39E91C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 xml:space="preserve">-il </w:t>
      </w:r>
      <w:proofErr w:type="spellStart"/>
      <w:r w:rsidRPr="00D62BB7">
        <w:rPr>
          <w:rFonts w:ascii="Verdana" w:hAnsi="Verdana"/>
          <w:sz w:val="20"/>
          <w:szCs w:val="20"/>
        </w:rPr>
        <w:t>drafting</w:t>
      </w:r>
      <w:proofErr w:type="spellEnd"/>
    </w:p>
    <w:p w14:paraId="3AB09D9B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-gli impegni della fase interinale</w:t>
      </w:r>
    </w:p>
    <w:p w14:paraId="561C6800" w14:textId="66312CC1" w:rsidR="000E683A" w:rsidRDefault="000E683A" w:rsidP="00D62BB7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78ECBFF" w14:textId="1EB207B4" w:rsidR="000E683A" w:rsidRPr="000E683A" w:rsidRDefault="000E683A" w:rsidP="00D62BB7">
      <w:pPr>
        <w:spacing w:after="0" w:line="240" w:lineRule="auto"/>
        <w:rPr>
          <w:rFonts w:ascii="Verdana" w:hAnsi="Verdana"/>
          <w:bCs/>
          <w:sz w:val="20"/>
          <w:szCs w:val="20"/>
          <w:u w:val="single"/>
        </w:rPr>
      </w:pPr>
      <w:r w:rsidRPr="000E683A">
        <w:rPr>
          <w:rFonts w:ascii="Verdana" w:hAnsi="Verdana"/>
          <w:bCs/>
          <w:sz w:val="20"/>
          <w:szCs w:val="20"/>
          <w:u w:val="single"/>
        </w:rPr>
        <w:t>Seconda giornata</w:t>
      </w:r>
    </w:p>
    <w:p w14:paraId="1E0C5195" w14:textId="77777777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b/>
          <w:bCs/>
          <w:sz w:val="20"/>
          <w:szCs w:val="20"/>
        </w:rPr>
        <w:t>Contratti di vendita</w:t>
      </w:r>
    </w:p>
    <w:p w14:paraId="6D086CC5" w14:textId="77777777" w:rsidR="000E683A" w:rsidRDefault="000E683A" w:rsidP="000E683A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59A27C65" w14:textId="2E28C488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b/>
          <w:bCs/>
          <w:sz w:val="20"/>
          <w:szCs w:val="20"/>
        </w:rPr>
        <w:t>La Convenzione di Vienna sui contratti di vendita internazionale</w:t>
      </w:r>
    </w:p>
    <w:p w14:paraId="498B2288" w14:textId="77777777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-il crescente numero degli Stati che hanno ratificato la Convenzione di Vienna</w:t>
      </w:r>
    </w:p>
    <w:p w14:paraId="79B88E33" w14:textId="77777777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 xml:space="preserve">-quando si applica la Convenzione di </w:t>
      </w:r>
      <w:proofErr w:type="gramStart"/>
      <w:r w:rsidRPr="00D62BB7">
        <w:rPr>
          <w:rFonts w:ascii="Verdana" w:hAnsi="Verdana"/>
          <w:sz w:val="20"/>
          <w:szCs w:val="20"/>
        </w:rPr>
        <w:t>Vienna ?</w:t>
      </w:r>
      <w:proofErr w:type="gramEnd"/>
    </w:p>
    <w:p w14:paraId="38342FB7" w14:textId="77777777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-clausola di scelta della legge applicabile e Convenzione di Vienna</w:t>
      </w:r>
    </w:p>
    <w:p w14:paraId="2F82C206" w14:textId="77777777" w:rsidR="000E683A" w:rsidRDefault="000E683A" w:rsidP="000E683A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5175C9E" w14:textId="7741B9D3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b/>
          <w:bCs/>
          <w:sz w:val="20"/>
          <w:szCs w:val="20"/>
        </w:rPr>
        <w:t>Vendita internazionale e distribuzione</w:t>
      </w:r>
    </w:p>
    <w:p w14:paraId="2C48EAC6" w14:textId="77777777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-tipologie particolari di beni e vendite non rientranti sotto la Convenzione di Vienna</w:t>
      </w:r>
    </w:p>
    <w:p w14:paraId="04636B73" w14:textId="77777777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-vendita internazionale vs appalto internazionale</w:t>
      </w:r>
    </w:p>
    <w:p w14:paraId="751DD31F" w14:textId="77777777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lastRenderedPageBreak/>
        <w:t xml:space="preserve">-è consigliabile escludere l’applicazione della Convenzione di </w:t>
      </w:r>
      <w:proofErr w:type="gramStart"/>
      <w:r w:rsidRPr="00D62BB7">
        <w:rPr>
          <w:rFonts w:ascii="Verdana" w:hAnsi="Verdana"/>
          <w:sz w:val="20"/>
          <w:szCs w:val="20"/>
        </w:rPr>
        <w:t>Vienna ?</w:t>
      </w:r>
      <w:proofErr w:type="gramEnd"/>
    </w:p>
    <w:p w14:paraId="14393CE2" w14:textId="77777777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-esclusione implicita della Convenzione di Vienna</w:t>
      </w:r>
    </w:p>
    <w:p w14:paraId="72E15DE0" w14:textId="77777777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-passaggio della proprietà e trasferimento del rischio</w:t>
      </w:r>
    </w:p>
    <w:p w14:paraId="4ADB47EB" w14:textId="77777777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-disciplina sulla conformità del prodotto: ispezione e denuncia dei vizi</w:t>
      </w:r>
    </w:p>
    <w:p w14:paraId="5962F1CA" w14:textId="77777777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-convenzione di Vienna e tasso di interessi sulle somme non pagate</w:t>
      </w:r>
    </w:p>
    <w:p w14:paraId="580477DF" w14:textId="77777777" w:rsidR="000E683A" w:rsidRDefault="000E683A" w:rsidP="000E683A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3E2B00B" w14:textId="38135083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b/>
          <w:bCs/>
          <w:sz w:val="20"/>
          <w:szCs w:val="20"/>
        </w:rPr>
        <w:t>L’uso delle Condizioni Generali di Contratto</w:t>
      </w:r>
    </w:p>
    <w:p w14:paraId="6A8871C8" w14:textId="77777777" w:rsidR="000E683A" w:rsidRPr="000E683A" w:rsidRDefault="000E683A" w:rsidP="000E683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E683A">
        <w:rPr>
          <w:rFonts w:ascii="Verdana" w:hAnsi="Verdana"/>
          <w:sz w:val="20"/>
          <w:szCs w:val="20"/>
          <w:lang w:val="en-US"/>
        </w:rPr>
        <w:t>-la c.d. Battle of the Forms</w:t>
      </w:r>
    </w:p>
    <w:p w14:paraId="0F81F30E" w14:textId="77777777" w:rsidR="000E683A" w:rsidRPr="000E683A" w:rsidRDefault="000E683A" w:rsidP="000E683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E683A">
        <w:rPr>
          <w:rFonts w:ascii="Verdana" w:hAnsi="Verdana"/>
          <w:sz w:val="20"/>
          <w:szCs w:val="20"/>
          <w:lang w:val="en-US"/>
        </w:rPr>
        <w:t>-la c.d. Last shot doctrine</w:t>
      </w:r>
    </w:p>
    <w:p w14:paraId="07561B0F" w14:textId="77777777" w:rsidR="000E683A" w:rsidRPr="000E683A" w:rsidRDefault="000E683A" w:rsidP="000E683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E683A">
        <w:rPr>
          <w:rFonts w:ascii="Verdana" w:hAnsi="Verdana"/>
          <w:sz w:val="20"/>
          <w:szCs w:val="20"/>
          <w:lang w:val="en-US"/>
        </w:rPr>
        <w:t>-la c.d. Knock-out doctrine</w:t>
      </w:r>
    </w:p>
    <w:p w14:paraId="0D58C00E" w14:textId="77777777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-lo scontro tra condizioni generali contrapposte nella Convenzione di Vienna</w:t>
      </w:r>
    </w:p>
    <w:p w14:paraId="20CC9601" w14:textId="77777777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 xml:space="preserve">-i vantaggi </w:t>
      </w:r>
      <w:proofErr w:type="gramStart"/>
      <w:r w:rsidRPr="00D62BB7">
        <w:rPr>
          <w:rFonts w:ascii="Verdana" w:hAnsi="Verdana"/>
          <w:sz w:val="20"/>
          <w:szCs w:val="20"/>
        </w:rPr>
        <w:t>delle parte</w:t>
      </w:r>
      <w:proofErr w:type="gramEnd"/>
      <w:r w:rsidRPr="00D62BB7">
        <w:rPr>
          <w:rFonts w:ascii="Verdana" w:hAnsi="Verdana"/>
          <w:sz w:val="20"/>
          <w:szCs w:val="20"/>
        </w:rPr>
        <w:t xml:space="preserve"> che utilizza le Condizioni Generali</w:t>
      </w:r>
    </w:p>
    <w:p w14:paraId="63A371B0" w14:textId="77777777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</w:t>
      </w:r>
      <w:proofErr w:type="gramStart"/>
      <w:r w:rsidRPr="00D62BB7">
        <w:rPr>
          <w:rFonts w:ascii="Verdana" w:hAnsi="Verdana"/>
          <w:sz w:val="20"/>
          <w:szCs w:val="20"/>
        </w:rPr>
        <w:t>strategie  e</w:t>
      </w:r>
      <w:proofErr w:type="gramEnd"/>
      <w:r w:rsidRPr="00D62BB7">
        <w:rPr>
          <w:rFonts w:ascii="Verdana" w:hAnsi="Verdana"/>
          <w:sz w:val="20"/>
          <w:szCs w:val="20"/>
        </w:rPr>
        <w:t xml:space="preserve"> suggerimenti operativi nell’uso delle Condizioni Generali</w:t>
      </w:r>
    </w:p>
    <w:p w14:paraId="0B9E46C8" w14:textId="77777777" w:rsidR="000E683A" w:rsidRDefault="000E683A" w:rsidP="000E683A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04D582A" w14:textId="3E778E63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b/>
          <w:bCs/>
          <w:sz w:val="20"/>
          <w:szCs w:val="20"/>
        </w:rPr>
        <w:t>INCOTERMS e Convenzione di Vienna</w:t>
      </w:r>
    </w:p>
    <w:p w14:paraId="02E7D233" w14:textId="77777777" w:rsidR="000E683A" w:rsidRDefault="000E683A" w:rsidP="000E683A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23BF3F7" w14:textId="520E1FD3" w:rsidR="000E683A" w:rsidRPr="00D62BB7" w:rsidRDefault="000E683A" w:rsidP="000E683A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b/>
          <w:bCs/>
          <w:sz w:val="20"/>
          <w:szCs w:val="20"/>
        </w:rPr>
        <w:t>Vendita internazionale e gestione del contenzioso</w:t>
      </w:r>
    </w:p>
    <w:p w14:paraId="2EDE37B8" w14:textId="510B00C1" w:rsidR="000E683A" w:rsidRDefault="000E683A" w:rsidP="000E683A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-analisi e discussione di clausole errate diffuse nella</w:t>
      </w:r>
    </w:p>
    <w:p w14:paraId="118C1DAE" w14:textId="77777777" w:rsidR="000E683A" w:rsidRDefault="000E683A" w:rsidP="00D62BB7">
      <w:pPr>
        <w:spacing w:after="0" w:line="240" w:lineRule="auto"/>
        <w:rPr>
          <w:rFonts w:ascii="Verdana" w:hAnsi="Verdana"/>
          <w:bCs/>
          <w:sz w:val="20"/>
          <w:szCs w:val="20"/>
          <w:u w:val="single"/>
        </w:rPr>
      </w:pPr>
    </w:p>
    <w:p w14:paraId="0822D8BE" w14:textId="12779B43" w:rsidR="000E683A" w:rsidRPr="000E683A" w:rsidRDefault="000E683A" w:rsidP="00D62BB7">
      <w:pPr>
        <w:spacing w:after="0" w:line="240" w:lineRule="auto"/>
        <w:rPr>
          <w:rFonts w:ascii="Verdana" w:hAnsi="Verdana"/>
          <w:bCs/>
          <w:sz w:val="20"/>
          <w:szCs w:val="20"/>
          <w:u w:val="single"/>
        </w:rPr>
      </w:pPr>
      <w:r w:rsidRPr="000E683A">
        <w:rPr>
          <w:rFonts w:ascii="Verdana" w:hAnsi="Verdana"/>
          <w:bCs/>
          <w:sz w:val="20"/>
          <w:szCs w:val="20"/>
          <w:u w:val="single"/>
        </w:rPr>
        <w:t>Terza giornata</w:t>
      </w:r>
    </w:p>
    <w:p w14:paraId="249B1342" w14:textId="1ACEBC84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b/>
          <w:bCs/>
          <w:sz w:val="20"/>
          <w:szCs w:val="20"/>
        </w:rPr>
        <w:t>Contratto di agenzia, distribuzione e franchising</w:t>
      </w:r>
    </w:p>
    <w:p w14:paraId="168573AC" w14:textId="77777777" w:rsidR="000E683A" w:rsidRDefault="000E683A" w:rsidP="00D62BB7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6C3E9D8C" w14:textId="475B5981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  <w:r w:rsidRPr="00D62BB7">
        <w:rPr>
          <w:rFonts w:ascii="Verdana" w:hAnsi="Verdana"/>
          <w:b/>
          <w:bCs/>
          <w:sz w:val="20"/>
          <w:szCs w:val="20"/>
        </w:rPr>
        <w:t>Il contratto di agenzia</w:t>
      </w:r>
    </w:p>
    <w:p w14:paraId="392EE425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-la nozione di contratto di agenzia e le differenze con tipi contrattuali simili</w:t>
      </w:r>
    </w:p>
    <w:p w14:paraId="56F322A7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-la disciplina comunitaria del contratto di agenzia</w:t>
      </w:r>
    </w:p>
    <w:p w14:paraId="488537E2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-il diritto di esclusiva</w:t>
      </w:r>
    </w:p>
    <w:p w14:paraId="39BDC36D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-l’agente: diritti e doveri, rappresentanza, provvigioni e rimborsi spese</w:t>
      </w:r>
    </w:p>
    <w:p w14:paraId="3FFEFCC5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 xml:space="preserve">-il preponente: mono-mandato e </w:t>
      </w:r>
      <w:proofErr w:type="spellStart"/>
      <w:r w:rsidRPr="00D62BB7">
        <w:rPr>
          <w:rFonts w:ascii="Verdana" w:hAnsi="Verdana"/>
          <w:sz w:val="20"/>
          <w:szCs w:val="20"/>
        </w:rPr>
        <w:t>pluri</w:t>
      </w:r>
      <w:proofErr w:type="spellEnd"/>
      <w:r w:rsidRPr="00D62BB7">
        <w:rPr>
          <w:rFonts w:ascii="Verdana" w:hAnsi="Verdana"/>
          <w:sz w:val="20"/>
          <w:szCs w:val="20"/>
        </w:rPr>
        <w:t>-mandato</w:t>
      </w:r>
    </w:p>
    <w:p w14:paraId="3433F90B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-il recesso dal contratto e l’indennità di fine rapporto</w:t>
      </w:r>
    </w:p>
    <w:p w14:paraId="48E5EEEA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-gli affari conclusi dall’agente dopo la cessazione del rapporto</w:t>
      </w:r>
    </w:p>
    <w:p w14:paraId="380B71A2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-gli accordi economici collettivi</w:t>
      </w:r>
    </w:p>
    <w:p w14:paraId="2A131989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-il patto di non concorrenza post-contrattuale</w:t>
      </w:r>
    </w:p>
    <w:p w14:paraId="39C773C3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-clausole critiche del contratto di agenzia</w:t>
      </w:r>
    </w:p>
    <w:p w14:paraId="33B0D542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-l’ENASARCO e i contributi previdenziali</w:t>
      </w:r>
    </w:p>
    <w:p w14:paraId="6F6926DB" w14:textId="77777777" w:rsidR="000E683A" w:rsidRDefault="000E683A" w:rsidP="00D62BB7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1F22184" w14:textId="0B66521F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b/>
          <w:bCs/>
          <w:sz w:val="20"/>
          <w:szCs w:val="20"/>
        </w:rPr>
        <w:t>Il contratto di concessione e di distribuzione</w:t>
      </w:r>
    </w:p>
    <w:p w14:paraId="60FC84F1" w14:textId="30049738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-il contratto di distribuzione</w:t>
      </w:r>
      <w:r w:rsidR="000E683A">
        <w:rPr>
          <w:rFonts w:ascii="Verdana" w:hAnsi="Verdana"/>
          <w:sz w:val="20"/>
          <w:szCs w:val="20"/>
        </w:rPr>
        <w:t xml:space="preserve"> </w:t>
      </w:r>
      <w:r w:rsidRPr="00D62BB7">
        <w:rPr>
          <w:rFonts w:ascii="Verdana" w:hAnsi="Verdana"/>
          <w:sz w:val="20"/>
          <w:szCs w:val="20"/>
        </w:rPr>
        <w:t>(atipicità del contratto e differenze rispetto ad altri strumenti)</w:t>
      </w:r>
    </w:p>
    <w:p w14:paraId="5284F009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-le clausole sul diritto applicabile e sulla giurisdizione, arbitrati interni e internazionali</w:t>
      </w:r>
    </w:p>
    <w:p w14:paraId="50F964FB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-la clausola di esclusiva e il divieto di concorrenza</w:t>
      </w:r>
    </w:p>
    <w:p w14:paraId="0AA3D79D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-le clausole che fissano minimi di acquisto / vendita</w:t>
      </w:r>
    </w:p>
    <w:p w14:paraId="4A936120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-il recesso dal contratto e le penali</w:t>
      </w:r>
    </w:p>
    <w:p w14:paraId="1301E038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-concorrenza sleale e tutela cautelare</w:t>
      </w:r>
    </w:p>
    <w:p w14:paraId="4A0384C8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-la tutela della proprietà intellettuale e l’abuso di dipendenza economica</w:t>
      </w:r>
    </w:p>
    <w:p w14:paraId="0409CE97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-analisi di modelli contrattuali</w:t>
      </w:r>
    </w:p>
    <w:p w14:paraId="598DAC50" w14:textId="77777777" w:rsidR="000E683A" w:rsidRDefault="000E683A" w:rsidP="00D62BB7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74739D8" w14:textId="3B2A1C55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b/>
          <w:bCs/>
          <w:sz w:val="20"/>
          <w:szCs w:val="20"/>
        </w:rPr>
        <w:t>Il contratto di franchising</w:t>
      </w:r>
    </w:p>
    <w:p w14:paraId="5282D5C8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-la legge 6 maggio2004 n. 129</w:t>
      </w:r>
    </w:p>
    <w:p w14:paraId="005029FC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-definizione di contratto di franchising e differenze rispetto ad altre tipologie</w:t>
      </w:r>
    </w:p>
    <w:p w14:paraId="1E67513C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-gli obblighi precontrattuali delle parti</w:t>
      </w:r>
    </w:p>
    <w:p w14:paraId="7CA43679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-gli obblighi dell’affiliante e dell’affiliato e le informazioni contrattuali</w:t>
      </w:r>
    </w:p>
    <w:p w14:paraId="42CAB9B7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-diritto di ingresso e modalità di calcolo delle royalties</w:t>
      </w:r>
    </w:p>
    <w:p w14:paraId="764381C3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-l’esclusiva territoriale</w:t>
      </w:r>
    </w:p>
    <w:p w14:paraId="16D5FF57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-il know-how e gli altri servizi offerti dall’affiliante</w:t>
      </w:r>
    </w:p>
    <w:p w14:paraId="2AB17CDB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-il contenzioso nella esecuzione del rapporto (fornitura di merce, modalità di pagamento, contestazioni)</w:t>
      </w:r>
    </w:p>
    <w:p w14:paraId="760FA5A3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-le fideiussioni e garanzie a prima richiesta per assicurare i pagamenti dovuti in base al contratto</w:t>
      </w:r>
    </w:p>
    <w:p w14:paraId="51525460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-la risoluzione per inadempimento (Tribunale di Torino, 28 giugno 2016)</w:t>
      </w:r>
    </w:p>
    <w:p w14:paraId="5E7BD1F2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-false informazioni e annullamento del contratto</w:t>
      </w:r>
    </w:p>
    <w:p w14:paraId="4F322068" w14:textId="77777777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-analisi di modelli contrattuali</w:t>
      </w:r>
    </w:p>
    <w:p w14:paraId="61EE9A08" w14:textId="19981C92" w:rsidR="000E683A" w:rsidRDefault="000E683A" w:rsidP="00D62BB7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B8CC395" w14:textId="049B76AA" w:rsidR="000E683A" w:rsidRPr="000E683A" w:rsidRDefault="000E683A" w:rsidP="00D62BB7">
      <w:pPr>
        <w:spacing w:after="0" w:line="240" w:lineRule="auto"/>
        <w:rPr>
          <w:rFonts w:ascii="Verdana" w:hAnsi="Verdana"/>
          <w:bCs/>
          <w:sz w:val="20"/>
          <w:szCs w:val="20"/>
          <w:u w:val="single"/>
        </w:rPr>
      </w:pPr>
      <w:r w:rsidRPr="000E683A">
        <w:rPr>
          <w:rFonts w:ascii="Verdana" w:hAnsi="Verdana"/>
          <w:bCs/>
          <w:sz w:val="20"/>
          <w:szCs w:val="20"/>
          <w:u w:val="single"/>
        </w:rPr>
        <w:t>Quarta giornata</w:t>
      </w:r>
    </w:p>
    <w:p w14:paraId="51121A69" w14:textId="2B186530" w:rsidR="00D62BB7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b/>
          <w:bCs/>
          <w:sz w:val="20"/>
          <w:szCs w:val="20"/>
        </w:rPr>
        <w:t>Inglese giuridico</w:t>
      </w:r>
    </w:p>
    <w:p w14:paraId="1000D7C9" w14:textId="77777777" w:rsidR="000E683A" w:rsidRDefault="000E683A" w:rsidP="00D62BB7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</w:p>
    <w:p w14:paraId="3E8C05D0" w14:textId="5B2405D6" w:rsidR="00D62BB7" w:rsidRPr="000E683A" w:rsidRDefault="00D62BB7" w:rsidP="00D62BB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E683A">
        <w:rPr>
          <w:rFonts w:ascii="Verdana" w:hAnsi="Verdana"/>
          <w:b/>
          <w:bCs/>
          <w:sz w:val="20"/>
          <w:szCs w:val="20"/>
          <w:lang w:val="en-US"/>
        </w:rPr>
        <w:t>Key terminology in contract negotiation and formation</w:t>
      </w:r>
    </w:p>
    <w:p w14:paraId="1CC7C3F9" w14:textId="77777777" w:rsidR="00D62BB7" w:rsidRPr="000E683A" w:rsidRDefault="00D62BB7" w:rsidP="00D62BB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E683A">
        <w:rPr>
          <w:rFonts w:ascii="Verdana" w:hAnsi="Verdana"/>
          <w:sz w:val="20"/>
          <w:szCs w:val="20"/>
          <w:lang w:val="en-US"/>
        </w:rPr>
        <w:t>Breach of contract</w:t>
      </w:r>
    </w:p>
    <w:p w14:paraId="36B5DEE8" w14:textId="77777777" w:rsidR="00D62BB7" w:rsidRPr="000E683A" w:rsidRDefault="00D62BB7" w:rsidP="00D62BB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E683A">
        <w:rPr>
          <w:rFonts w:ascii="Verdana" w:hAnsi="Verdana"/>
          <w:sz w:val="20"/>
          <w:szCs w:val="20"/>
          <w:lang w:val="en-US"/>
        </w:rPr>
        <w:t>-exclusion/limitation of liability clauses</w:t>
      </w:r>
    </w:p>
    <w:p w14:paraId="7A352DA3" w14:textId="77777777" w:rsidR="00D62BB7" w:rsidRPr="000E683A" w:rsidRDefault="00D62BB7" w:rsidP="00D62BB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E683A">
        <w:rPr>
          <w:rFonts w:ascii="Verdana" w:hAnsi="Verdana"/>
          <w:sz w:val="20"/>
          <w:szCs w:val="20"/>
          <w:lang w:val="en-US"/>
        </w:rPr>
        <w:t>-contractual remedies</w:t>
      </w:r>
    </w:p>
    <w:p w14:paraId="6524D1BB" w14:textId="77777777" w:rsidR="00D62BB7" w:rsidRPr="000E683A" w:rsidRDefault="00D62BB7" w:rsidP="00D62BB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E683A">
        <w:rPr>
          <w:rFonts w:ascii="Verdana" w:hAnsi="Verdana"/>
          <w:sz w:val="20"/>
          <w:szCs w:val="20"/>
          <w:lang w:val="en-US"/>
        </w:rPr>
        <w:t>-</w:t>
      </w:r>
      <w:proofErr w:type="spellStart"/>
      <w:proofErr w:type="gramStart"/>
      <w:r w:rsidRPr="000E683A">
        <w:rPr>
          <w:rFonts w:ascii="Verdana" w:hAnsi="Verdana"/>
          <w:sz w:val="20"/>
          <w:szCs w:val="20"/>
          <w:lang w:val="en-US"/>
        </w:rPr>
        <w:t>penalties,contract</w:t>
      </w:r>
      <w:proofErr w:type="spellEnd"/>
      <w:proofErr w:type="gramEnd"/>
      <w:r w:rsidRPr="000E683A">
        <w:rPr>
          <w:rFonts w:ascii="Verdana" w:hAnsi="Verdana"/>
          <w:sz w:val="20"/>
          <w:szCs w:val="20"/>
          <w:lang w:val="en-US"/>
        </w:rPr>
        <w:t xml:space="preserve"> termination</w:t>
      </w:r>
    </w:p>
    <w:p w14:paraId="6BA5C52C" w14:textId="77777777" w:rsidR="000E683A" w:rsidRDefault="000E683A" w:rsidP="00D62BB7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</w:p>
    <w:p w14:paraId="508ED52A" w14:textId="0B62E2DC" w:rsidR="00D62BB7" w:rsidRPr="000E683A" w:rsidRDefault="00D62BB7" w:rsidP="00D62BB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E683A">
        <w:rPr>
          <w:rFonts w:ascii="Verdana" w:hAnsi="Verdana"/>
          <w:b/>
          <w:bCs/>
          <w:sz w:val="20"/>
          <w:szCs w:val="20"/>
          <w:lang w:val="en-US"/>
        </w:rPr>
        <w:t>Termination by default and termination at will</w:t>
      </w:r>
    </w:p>
    <w:p w14:paraId="12948B1F" w14:textId="77777777" w:rsidR="00D62BB7" w:rsidRPr="000E683A" w:rsidRDefault="00D62BB7" w:rsidP="00D62BB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E683A">
        <w:rPr>
          <w:rFonts w:ascii="Verdana" w:hAnsi="Verdana"/>
          <w:sz w:val="20"/>
          <w:szCs w:val="20"/>
          <w:lang w:val="en-US"/>
        </w:rPr>
        <w:t>Disputes</w:t>
      </w:r>
    </w:p>
    <w:p w14:paraId="67A9D616" w14:textId="77777777" w:rsidR="00D62BB7" w:rsidRPr="000E683A" w:rsidRDefault="00D62BB7" w:rsidP="00D62BB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E683A">
        <w:rPr>
          <w:rFonts w:ascii="Verdana" w:hAnsi="Verdana"/>
          <w:sz w:val="20"/>
          <w:szCs w:val="20"/>
          <w:lang w:val="en-US"/>
        </w:rPr>
        <w:t>-</w:t>
      </w:r>
      <w:proofErr w:type="spellStart"/>
      <w:proofErr w:type="gramStart"/>
      <w:r w:rsidRPr="000E683A">
        <w:rPr>
          <w:rFonts w:ascii="Verdana" w:hAnsi="Verdana"/>
          <w:sz w:val="20"/>
          <w:szCs w:val="20"/>
          <w:lang w:val="en-US"/>
        </w:rPr>
        <w:t>litigation,arbitration</w:t>
      </w:r>
      <w:proofErr w:type="gramEnd"/>
      <w:r w:rsidRPr="000E683A">
        <w:rPr>
          <w:rFonts w:ascii="Verdana" w:hAnsi="Verdana"/>
          <w:sz w:val="20"/>
          <w:szCs w:val="20"/>
          <w:lang w:val="en-US"/>
        </w:rPr>
        <w:t>,ADR</w:t>
      </w:r>
      <w:proofErr w:type="spellEnd"/>
      <w:r w:rsidRPr="000E683A">
        <w:rPr>
          <w:rFonts w:ascii="Verdana" w:hAnsi="Verdana"/>
          <w:sz w:val="20"/>
          <w:szCs w:val="20"/>
          <w:lang w:val="en-US"/>
        </w:rPr>
        <w:t xml:space="preserve"> and mediation</w:t>
      </w:r>
    </w:p>
    <w:p w14:paraId="37FF9A5D" w14:textId="77777777" w:rsidR="000E683A" w:rsidRDefault="000E683A" w:rsidP="00D62BB7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</w:p>
    <w:p w14:paraId="7987022D" w14:textId="518A0C1D" w:rsidR="00D62BB7" w:rsidRPr="000E683A" w:rsidRDefault="00D62BB7" w:rsidP="00D62BB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E683A">
        <w:rPr>
          <w:rFonts w:ascii="Verdana" w:hAnsi="Verdana"/>
          <w:b/>
          <w:bCs/>
          <w:sz w:val="20"/>
          <w:szCs w:val="20"/>
          <w:lang w:val="en-US"/>
        </w:rPr>
        <w:t>Legal correspondence for breach of contract and disputes</w:t>
      </w:r>
    </w:p>
    <w:p w14:paraId="4B6B5FAC" w14:textId="77777777" w:rsidR="00D62BB7" w:rsidRPr="000E683A" w:rsidRDefault="00D62BB7" w:rsidP="00D62BB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E683A">
        <w:rPr>
          <w:rFonts w:ascii="Verdana" w:hAnsi="Verdana"/>
          <w:sz w:val="20"/>
          <w:szCs w:val="20"/>
          <w:lang w:val="en-US"/>
        </w:rPr>
        <w:t xml:space="preserve">Overview of the essential terms in </w:t>
      </w:r>
      <w:proofErr w:type="spellStart"/>
      <w:proofErr w:type="gramStart"/>
      <w:r w:rsidRPr="000E683A">
        <w:rPr>
          <w:rFonts w:ascii="Verdana" w:hAnsi="Verdana"/>
          <w:sz w:val="20"/>
          <w:szCs w:val="20"/>
          <w:lang w:val="en-US"/>
        </w:rPr>
        <w:t>Supply,Distribution</w:t>
      </w:r>
      <w:proofErr w:type="gramEnd"/>
      <w:r w:rsidRPr="000E683A">
        <w:rPr>
          <w:rFonts w:ascii="Verdana" w:hAnsi="Verdana"/>
          <w:sz w:val="20"/>
          <w:szCs w:val="20"/>
          <w:lang w:val="en-US"/>
        </w:rPr>
        <w:t>,Agency</w:t>
      </w:r>
      <w:proofErr w:type="spellEnd"/>
      <w:r w:rsidRPr="000E683A">
        <w:rPr>
          <w:rFonts w:ascii="Verdana" w:hAnsi="Verdana"/>
          <w:sz w:val="20"/>
          <w:szCs w:val="20"/>
          <w:lang w:val="en-US"/>
        </w:rPr>
        <w:t xml:space="preserve"> and Franchise agreements</w:t>
      </w:r>
    </w:p>
    <w:p w14:paraId="714235E7" w14:textId="77777777" w:rsidR="00D62BB7" w:rsidRPr="000E683A" w:rsidRDefault="00D62BB7" w:rsidP="00D62BB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E683A">
        <w:rPr>
          <w:rFonts w:ascii="Verdana" w:hAnsi="Verdana"/>
          <w:sz w:val="20"/>
          <w:szCs w:val="20"/>
          <w:lang w:val="en-US"/>
        </w:rPr>
        <w:t xml:space="preserve">Learn by </w:t>
      </w:r>
      <w:proofErr w:type="spellStart"/>
      <w:r w:rsidRPr="000E683A">
        <w:rPr>
          <w:rFonts w:ascii="Verdana" w:hAnsi="Verdana"/>
          <w:sz w:val="20"/>
          <w:szCs w:val="20"/>
          <w:lang w:val="en-US"/>
        </w:rPr>
        <w:t>practising</w:t>
      </w:r>
      <w:proofErr w:type="spellEnd"/>
      <w:r w:rsidRPr="000E683A">
        <w:rPr>
          <w:rFonts w:ascii="Verdana" w:hAnsi="Verdana"/>
          <w:sz w:val="20"/>
          <w:szCs w:val="20"/>
          <w:lang w:val="en-US"/>
        </w:rPr>
        <w:t xml:space="preserve">: negotiation </w:t>
      </w:r>
      <w:proofErr w:type="spellStart"/>
      <w:proofErr w:type="gramStart"/>
      <w:r w:rsidRPr="000E683A">
        <w:rPr>
          <w:rFonts w:ascii="Verdana" w:hAnsi="Verdana"/>
          <w:sz w:val="20"/>
          <w:szCs w:val="20"/>
          <w:lang w:val="en-US"/>
        </w:rPr>
        <w:t>techniques,drafting</w:t>
      </w:r>
      <w:proofErr w:type="spellEnd"/>
      <w:proofErr w:type="gramEnd"/>
      <w:r w:rsidRPr="000E683A">
        <w:rPr>
          <w:rFonts w:ascii="Verdana" w:hAnsi="Verdana"/>
          <w:sz w:val="20"/>
          <w:szCs w:val="20"/>
          <w:lang w:val="en-US"/>
        </w:rPr>
        <w:t xml:space="preserve"> and re-wording contractual </w:t>
      </w:r>
      <w:proofErr w:type="spellStart"/>
      <w:r w:rsidRPr="000E683A">
        <w:rPr>
          <w:rFonts w:ascii="Verdana" w:hAnsi="Verdana"/>
          <w:sz w:val="20"/>
          <w:szCs w:val="20"/>
          <w:lang w:val="en-US"/>
        </w:rPr>
        <w:t>clauses,role-play,case</w:t>
      </w:r>
      <w:proofErr w:type="spellEnd"/>
      <w:r w:rsidRPr="000E683A">
        <w:rPr>
          <w:rFonts w:ascii="Verdana" w:hAnsi="Verdana"/>
          <w:sz w:val="20"/>
          <w:szCs w:val="20"/>
          <w:lang w:val="en-US"/>
        </w:rPr>
        <w:t xml:space="preserve"> study.</w:t>
      </w:r>
    </w:p>
    <w:p w14:paraId="7F3A64C0" w14:textId="77777777" w:rsidR="000E683A" w:rsidRDefault="000E683A" w:rsidP="00D62BB7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7E395C3" w14:textId="63D10EC9" w:rsidR="00F411BC" w:rsidRPr="00D62BB7" w:rsidRDefault="00D62BB7" w:rsidP="00D62BB7">
      <w:pPr>
        <w:spacing w:after="0" w:line="240" w:lineRule="auto"/>
        <w:rPr>
          <w:rFonts w:ascii="Verdana" w:hAnsi="Verdana"/>
          <w:sz w:val="20"/>
          <w:szCs w:val="20"/>
        </w:rPr>
      </w:pPr>
      <w:r w:rsidRPr="00D62BB7">
        <w:rPr>
          <w:rFonts w:ascii="Verdana" w:hAnsi="Verdana"/>
          <w:sz w:val="20"/>
          <w:szCs w:val="20"/>
        </w:rPr>
        <w:t>prassi</w:t>
      </w:r>
    </w:p>
    <w:sectPr w:rsidR="00F411BC" w:rsidRPr="00D62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BC"/>
    <w:rsid w:val="000E683A"/>
    <w:rsid w:val="00D62BB7"/>
    <w:rsid w:val="00F4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B916"/>
  <w15:chartTrackingRefBased/>
  <w15:docId w15:val="{D7AF3989-1F53-4597-9083-C4953B7E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Rizzo</dc:creator>
  <cp:keywords/>
  <dc:description/>
  <cp:lastModifiedBy>Utente</cp:lastModifiedBy>
  <cp:revision>4</cp:revision>
  <dcterms:created xsi:type="dcterms:W3CDTF">2017-12-21T17:01:00Z</dcterms:created>
  <dcterms:modified xsi:type="dcterms:W3CDTF">2017-12-28T11:02:00Z</dcterms:modified>
</cp:coreProperties>
</file>