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2C89" w14:textId="77777777" w:rsidR="004632F0" w:rsidRPr="004632F0" w:rsidRDefault="004632F0" w:rsidP="004632F0">
      <w:pPr>
        <w:jc w:val="both"/>
        <w:rPr>
          <w:rFonts w:ascii="Aptos" w:hAnsi="Aptos"/>
          <w:b/>
          <w:bCs/>
          <w:sz w:val="28"/>
          <w:szCs w:val="28"/>
        </w:rPr>
      </w:pPr>
      <w:r w:rsidRPr="004632F0">
        <w:rPr>
          <w:rFonts w:ascii="Aptos" w:hAnsi="Aptos"/>
          <w:b/>
          <w:bCs/>
          <w:sz w:val="28"/>
          <w:szCs w:val="28"/>
        </w:rPr>
        <w:t>Crediti d’imposta nella mediazione</w:t>
      </w:r>
    </w:p>
    <w:p w14:paraId="0EEB0036" w14:textId="68D85C33" w:rsidR="004632F0" w:rsidRDefault="004632F0" w:rsidP="004632F0">
      <w:pPr>
        <w:jc w:val="both"/>
        <w:rPr>
          <w:rFonts w:ascii="Aptos" w:hAnsi="Aptos"/>
          <w:sz w:val="28"/>
          <w:szCs w:val="28"/>
        </w:rPr>
      </w:pPr>
      <w:r w:rsidRPr="004632F0">
        <w:rPr>
          <w:rFonts w:ascii="Aptos" w:hAnsi="Aptos"/>
          <w:sz w:val="28"/>
          <w:szCs w:val="28"/>
        </w:rPr>
        <w:t>Per favorire il ricorso ai procedimenti di </w:t>
      </w:r>
      <w:hyperlink r:id="rId5" w:history="1">
        <w:r w:rsidRPr="004632F0">
          <w:rPr>
            <w:rStyle w:val="Collegamentoipertestuale"/>
            <w:rFonts w:ascii="Aptos" w:hAnsi="Aptos"/>
            <w:b/>
            <w:bCs/>
            <w:color w:val="auto"/>
            <w:sz w:val="28"/>
            <w:szCs w:val="28"/>
          </w:rPr>
          <w:t>mediazione</w:t>
        </w:r>
      </w:hyperlink>
      <w:r w:rsidRPr="004632F0">
        <w:rPr>
          <w:rFonts w:ascii="Aptos" w:hAnsi="Aptos"/>
          <w:sz w:val="28"/>
          <w:szCs w:val="28"/>
        </w:rPr>
        <w:t> e </w:t>
      </w:r>
      <w:hyperlink r:id="rId6" w:history="1">
        <w:r w:rsidRPr="004632F0">
          <w:rPr>
            <w:rStyle w:val="Collegamentoipertestuale"/>
            <w:rFonts w:ascii="Aptos" w:hAnsi="Aptos"/>
            <w:b/>
            <w:bCs/>
            <w:color w:val="auto"/>
            <w:sz w:val="28"/>
            <w:szCs w:val="28"/>
          </w:rPr>
          <w:t>negoziazione assistita</w:t>
        </w:r>
      </w:hyperlink>
      <w:r w:rsidRPr="004632F0">
        <w:rPr>
          <w:rFonts w:ascii="Aptos" w:hAnsi="Aptos"/>
          <w:sz w:val="28"/>
          <w:szCs w:val="28"/>
        </w:rPr>
        <w:t xml:space="preserve"> la Riforma Cartabia ha rafforzato i benefici fiscali a vantaggio delle parti. </w:t>
      </w:r>
    </w:p>
    <w:p w14:paraId="4E0A5990" w14:textId="2D86294B" w:rsidR="004632F0" w:rsidRPr="004632F0" w:rsidRDefault="004632F0" w:rsidP="004632F0">
      <w:pPr>
        <w:jc w:val="both"/>
        <w:rPr>
          <w:rFonts w:ascii="Aptos" w:hAnsi="Aptos"/>
          <w:sz w:val="28"/>
          <w:szCs w:val="28"/>
        </w:rPr>
      </w:pPr>
      <w:r w:rsidRPr="004632F0">
        <w:rPr>
          <w:rFonts w:ascii="Aptos" w:hAnsi="Aptos"/>
          <w:sz w:val="28"/>
          <w:szCs w:val="28"/>
        </w:rPr>
        <w:t>Per la mediazione, l’art. 20 del </w:t>
      </w:r>
      <w:hyperlink r:id="rId7" w:history="1">
        <w:r w:rsidRPr="004632F0">
          <w:rPr>
            <w:rStyle w:val="Collegamentoipertestuale"/>
            <w:rFonts w:ascii="Aptos" w:hAnsi="Aptos"/>
            <w:b/>
            <w:bCs/>
            <w:color w:val="auto"/>
            <w:sz w:val="28"/>
            <w:szCs w:val="28"/>
          </w:rPr>
          <w:t>D.lgs. n. 28/2010</w:t>
        </w:r>
      </w:hyperlink>
      <w:r w:rsidRPr="004632F0">
        <w:rPr>
          <w:rFonts w:ascii="Aptos" w:hAnsi="Aptos"/>
          <w:sz w:val="28"/>
          <w:szCs w:val="28"/>
        </w:rPr>
        <w:t>, come modificato dal </w:t>
      </w:r>
      <w:hyperlink r:id="rId8" w:history="1">
        <w:r w:rsidRPr="004632F0">
          <w:rPr>
            <w:rStyle w:val="Collegamentoipertestuale"/>
            <w:rFonts w:ascii="Aptos" w:hAnsi="Aptos"/>
            <w:b/>
            <w:bCs/>
            <w:color w:val="auto"/>
            <w:sz w:val="28"/>
            <w:szCs w:val="28"/>
          </w:rPr>
          <w:t>D.lgs. n. 149/2022</w:t>
        </w:r>
      </w:hyperlink>
      <w:r w:rsidRPr="004632F0">
        <w:rPr>
          <w:rFonts w:ascii="Aptos" w:hAnsi="Aptos"/>
          <w:sz w:val="28"/>
          <w:szCs w:val="28"/>
        </w:rPr>
        <w:t> stabilisce:</w:t>
      </w:r>
    </w:p>
    <w:p w14:paraId="7E1AC253" w14:textId="77777777" w:rsidR="004632F0" w:rsidRPr="004632F0" w:rsidRDefault="004632F0" w:rsidP="004632F0">
      <w:pPr>
        <w:numPr>
          <w:ilvl w:val="0"/>
          <w:numId w:val="1"/>
        </w:numPr>
        <w:jc w:val="both"/>
        <w:rPr>
          <w:rFonts w:ascii="Aptos" w:hAnsi="Aptos"/>
          <w:i/>
          <w:iCs/>
          <w:sz w:val="28"/>
          <w:szCs w:val="28"/>
        </w:rPr>
      </w:pPr>
      <w:r w:rsidRPr="004632F0">
        <w:rPr>
          <w:rFonts w:ascii="Aptos" w:hAnsi="Aptos"/>
          <w:i/>
          <w:iCs/>
          <w:sz w:val="28"/>
          <w:szCs w:val="28"/>
        </w:rPr>
        <w:t>in caso di raggiungimento dell’accordo di conciliazione, si può usufruire di un credito di imposta pari all’</w:t>
      </w:r>
      <w:r w:rsidRPr="004632F0">
        <w:rPr>
          <w:rFonts w:ascii="Aptos" w:hAnsi="Aptos"/>
          <w:b/>
          <w:bCs/>
          <w:i/>
          <w:iCs/>
          <w:sz w:val="28"/>
          <w:szCs w:val="28"/>
        </w:rPr>
        <w:t>indennità corrisposta all’organismo</w:t>
      </w:r>
      <w:r w:rsidRPr="004632F0">
        <w:rPr>
          <w:rFonts w:ascii="Aptos" w:hAnsi="Aptos"/>
          <w:i/>
          <w:iCs/>
          <w:sz w:val="28"/>
          <w:szCs w:val="28"/>
        </w:rPr>
        <w:t> fino a concorrenza di Euro 600;</w:t>
      </w:r>
    </w:p>
    <w:p w14:paraId="639DE243" w14:textId="77777777" w:rsidR="004632F0" w:rsidRPr="004632F0" w:rsidRDefault="004632F0" w:rsidP="004632F0">
      <w:pPr>
        <w:numPr>
          <w:ilvl w:val="0"/>
          <w:numId w:val="1"/>
        </w:numPr>
        <w:jc w:val="both"/>
        <w:rPr>
          <w:rFonts w:ascii="Aptos" w:hAnsi="Aptos"/>
          <w:i/>
          <w:iCs/>
          <w:sz w:val="28"/>
          <w:szCs w:val="28"/>
        </w:rPr>
      </w:pPr>
      <w:r w:rsidRPr="004632F0">
        <w:rPr>
          <w:rFonts w:ascii="Aptos" w:hAnsi="Aptos"/>
          <w:i/>
          <w:iCs/>
          <w:sz w:val="28"/>
          <w:szCs w:val="28"/>
        </w:rPr>
        <w:t>se la mediazione è obbligatoria o è demandata dal giudice, si aggiunge anche il credito d’imposta commisurato al </w:t>
      </w:r>
      <w:r w:rsidRPr="004632F0">
        <w:rPr>
          <w:rFonts w:ascii="Aptos" w:hAnsi="Aptos"/>
          <w:b/>
          <w:bCs/>
          <w:i/>
          <w:iCs/>
          <w:sz w:val="28"/>
          <w:szCs w:val="28"/>
        </w:rPr>
        <w:t>compenso corrisposto al proprio avvocato</w:t>
      </w:r>
      <w:r w:rsidRPr="004632F0">
        <w:rPr>
          <w:rFonts w:ascii="Aptos" w:hAnsi="Aptos"/>
          <w:i/>
          <w:iCs/>
          <w:sz w:val="28"/>
          <w:szCs w:val="28"/>
        </w:rPr>
        <w:t> per l’assistenza nella procedura, nei limiti previsti dai parametri forensi e fino a concorrenza di 600 Euro;</w:t>
      </w:r>
    </w:p>
    <w:p w14:paraId="3AFE04C6" w14:textId="77777777" w:rsidR="004632F0" w:rsidRPr="004632F0" w:rsidRDefault="004632F0" w:rsidP="004632F0">
      <w:pPr>
        <w:numPr>
          <w:ilvl w:val="0"/>
          <w:numId w:val="1"/>
        </w:numPr>
        <w:jc w:val="both"/>
        <w:rPr>
          <w:rFonts w:ascii="Aptos" w:hAnsi="Aptos"/>
          <w:i/>
          <w:iCs/>
          <w:sz w:val="28"/>
          <w:szCs w:val="28"/>
        </w:rPr>
      </w:pPr>
      <w:r w:rsidRPr="004632F0">
        <w:rPr>
          <w:rFonts w:ascii="Aptos" w:hAnsi="Aptos"/>
          <w:i/>
          <w:iCs/>
          <w:sz w:val="28"/>
          <w:szCs w:val="28"/>
        </w:rPr>
        <w:t>i crediti di imposta sono utilizzabili dalla parte nel </w:t>
      </w:r>
      <w:r w:rsidRPr="004632F0">
        <w:rPr>
          <w:rFonts w:ascii="Aptos" w:hAnsi="Aptos"/>
          <w:b/>
          <w:bCs/>
          <w:i/>
          <w:iCs/>
          <w:sz w:val="28"/>
          <w:szCs w:val="28"/>
        </w:rPr>
        <w:t>limite complessivo di 600 Euro per procedura, </w:t>
      </w:r>
      <w:r w:rsidRPr="004632F0">
        <w:rPr>
          <w:rFonts w:ascii="Aptos" w:hAnsi="Aptos"/>
          <w:i/>
          <w:iCs/>
          <w:sz w:val="28"/>
          <w:szCs w:val="28"/>
        </w:rPr>
        <w:t>e fino ad un importo massimo annuale di Euro 2400 per le persone fisiche e di 24 mila euro per le persone giuridiche;</w:t>
      </w:r>
    </w:p>
    <w:p w14:paraId="3E09F101" w14:textId="77777777" w:rsidR="004632F0" w:rsidRPr="004632F0" w:rsidRDefault="004632F0" w:rsidP="004632F0">
      <w:pPr>
        <w:numPr>
          <w:ilvl w:val="0"/>
          <w:numId w:val="1"/>
        </w:numPr>
        <w:jc w:val="both"/>
        <w:rPr>
          <w:rFonts w:ascii="Aptos" w:hAnsi="Aptos"/>
          <w:i/>
          <w:iCs/>
          <w:sz w:val="28"/>
          <w:szCs w:val="28"/>
        </w:rPr>
      </w:pPr>
      <w:r w:rsidRPr="004632F0">
        <w:rPr>
          <w:rFonts w:ascii="Aptos" w:hAnsi="Aptos"/>
          <w:i/>
          <w:iCs/>
          <w:sz w:val="28"/>
          <w:szCs w:val="28"/>
        </w:rPr>
        <w:t>in caso di insuccesso della mediazione i crediti sono </w:t>
      </w:r>
      <w:r w:rsidRPr="004632F0">
        <w:rPr>
          <w:rFonts w:ascii="Aptos" w:hAnsi="Aptos"/>
          <w:b/>
          <w:bCs/>
          <w:i/>
          <w:iCs/>
          <w:sz w:val="28"/>
          <w:szCs w:val="28"/>
        </w:rPr>
        <w:t>ridotti della metà;</w:t>
      </w:r>
    </w:p>
    <w:p w14:paraId="1E6F7B5F" w14:textId="77777777" w:rsidR="004632F0" w:rsidRPr="004632F0" w:rsidRDefault="004632F0" w:rsidP="004632F0">
      <w:pPr>
        <w:numPr>
          <w:ilvl w:val="0"/>
          <w:numId w:val="1"/>
        </w:numPr>
        <w:jc w:val="both"/>
        <w:rPr>
          <w:rFonts w:ascii="Aptos" w:hAnsi="Aptos"/>
          <w:i/>
          <w:iCs/>
          <w:sz w:val="28"/>
          <w:szCs w:val="28"/>
        </w:rPr>
      </w:pPr>
      <w:r w:rsidRPr="004632F0">
        <w:rPr>
          <w:rFonts w:ascii="Aptos" w:hAnsi="Aptos"/>
          <w:i/>
          <w:iCs/>
          <w:sz w:val="28"/>
          <w:szCs w:val="28"/>
        </w:rPr>
        <w:t>In caso di mediazione in corso di causa, che si conclude con un accordo, è riconosciuto un ulteriore credito di imposta commisurato al</w:t>
      </w:r>
      <w:r w:rsidRPr="004632F0">
        <w:rPr>
          <w:rFonts w:ascii="Aptos" w:hAnsi="Aptos"/>
          <w:b/>
          <w:bCs/>
          <w:i/>
          <w:iCs/>
          <w:sz w:val="28"/>
          <w:szCs w:val="28"/>
        </w:rPr>
        <w:t> contributo unificato versato</w:t>
      </w:r>
      <w:r w:rsidRPr="004632F0">
        <w:rPr>
          <w:rFonts w:ascii="Aptos" w:hAnsi="Aptos"/>
          <w:i/>
          <w:iCs/>
          <w:sz w:val="28"/>
          <w:szCs w:val="28"/>
        </w:rPr>
        <w:t> dalla parte del giudizio estinto, fino a concorrenza di Euro 518.</w:t>
      </w:r>
    </w:p>
    <w:p w14:paraId="35DCB458" w14:textId="77777777" w:rsidR="004632F0" w:rsidRPr="004632F0" w:rsidRDefault="004632F0" w:rsidP="004632F0">
      <w:pPr>
        <w:jc w:val="both"/>
        <w:rPr>
          <w:rFonts w:ascii="Aptos" w:hAnsi="Aptos"/>
          <w:sz w:val="28"/>
          <w:szCs w:val="28"/>
        </w:rPr>
      </w:pPr>
      <w:r w:rsidRPr="004632F0">
        <w:rPr>
          <w:rFonts w:ascii="Aptos" w:hAnsi="Aptos"/>
          <w:sz w:val="28"/>
          <w:szCs w:val="28"/>
        </w:rPr>
        <w:t>La norma, in vigore dal 30 giugno 2023 rimanda ad apposito decreto del Ministero della Giustizia per regolare le modalità di riconoscimento dei crediti, la documentazione da esibire, i controlli e le modalità di trasmissione telematica all’Agenzia delle Entrate.</w:t>
      </w:r>
    </w:p>
    <w:p w14:paraId="6EFF5CB9" w14:textId="77777777" w:rsidR="004632F0" w:rsidRPr="004632F0" w:rsidRDefault="004632F0" w:rsidP="004632F0">
      <w:pPr>
        <w:jc w:val="both"/>
        <w:rPr>
          <w:rFonts w:ascii="Aptos" w:hAnsi="Aptos"/>
          <w:sz w:val="28"/>
          <w:szCs w:val="28"/>
        </w:rPr>
      </w:pPr>
      <w:r w:rsidRPr="004632F0">
        <w:rPr>
          <w:rFonts w:ascii="Aptos" w:hAnsi="Aptos"/>
          <w:sz w:val="28"/>
          <w:szCs w:val="28"/>
        </w:rPr>
        <w:t>Con decreto del 1° agosto 2023, pubblicato in G.U. il 7 agosto scorso, il Ministero ha dettato le regole per usufruire dei crediti di imposta, valide per le domande presentate dopo l’entrata in vigore del decreto stesso. </w:t>
      </w:r>
    </w:p>
    <w:p w14:paraId="49B35DD2" w14:textId="77777777" w:rsidR="00947BB9" w:rsidRPr="004632F0" w:rsidRDefault="00947BB9"/>
    <w:sectPr w:rsidR="00947BB9" w:rsidRPr="004632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B66B2"/>
    <w:multiLevelType w:val="multilevel"/>
    <w:tmpl w:val="0534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561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F0"/>
    <w:rsid w:val="004632F0"/>
    <w:rsid w:val="00947BB9"/>
    <w:rsid w:val="00B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9D38"/>
  <w15:chartTrackingRefBased/>
  <w15:docId w15:val="{88AE0E97-AA4E-4F14-8F9A-0D096B33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632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3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alex.com/documents/2022/10/18/riforma-processo-civile-g-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talex.com/documents/codici-altalex/2013/11/04/mediazione-civile-il-testo-aggiornato-del-d-lgs-28-2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talex.com/documents/altalexpedia/2021/02/25/negoziazione-assistita" TargetMode="External"/><Relationship Id="rId5" Type="http://schemas.openxmlformats.org/officeDocument/2006/relationships/hyperlink" Target="https://www.altalex.com/documents/altalexpedia/2016/11/16/mediazione-civi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morandi</dc:creator>
  <cp:keywords/>
  <dc:description/>
  <cp:lastModifiedBy>Stefano morandi</cp:lastModifiedBy>
  <cp:revision>2</cp:revision>
  <dcterms:created xsi:type="dcterms:W3CDTF">2024-02-06T16:02:00Z</dcterms:created>
  <dcterms:modified xsi:type="dcterms:W3CDTF">2024-02-06T16:02:00Z</dcterms:modified>
</cp:coreProperties>
</file>