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1967" w14:textId="77777777" w:rsidR="00ED67EE" w:rsidRPr="002A72E9" w:rsidRDefault="00F1545D" w:rsidP="00B92C1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it-IT"/>
        </w:rPr>
      </w:pPr>
      <w:r w:rsidRPr="002A72E9">
        <w:rPr>
          <w:rFonts w:ascii="Times New Roman" w:hAnsi="Times New Roman"/>
          <w:b/>
          <w:sz w:val="28"/>
          <w:szCs w:val="24"/>
          <w:lang w:eastAsia="it-IT"/>
        </w:rPr>
        <w:t xml:space="preserve"> RELAZIONE DEL TESORIERE </w:t>
      </w:r>
    </w:p>
    <w:p w14:paraId="58B75869" w14:textId="3E292FE5" w:rsidR="00ED67EE" w:rsidRPr="002A72E9" w:rsidRDefault="00F1545D" w:rsidP="00B92C1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it-IT"/>
        </w:rPr>
      </w:pPr>
      <w:r w:rsidRPr="002A72E9">
        <w:rPr>
          <w:rFonts w:ascii="Times New Roman" w:hAnsi="Times New Roman"/>
          <w:b/>
          <w:sz w:val="28"/>
          <w:szCs w:val="24"/>
          <w:lang w:eastAsia="it-IT"/>
        </w:rPr>
        <w:t>AL RENDICO</w:t>
      </w:r>
      <w:r w:rsidR="002A72E9" w:rsidRPr="002A72E9">
        <w:rPr>
          <w:rFonts w:ascii="Times New Roman" w:hAnsi="Times New Roman"/>
          <w:b/>
          <w:sz w:val="28"/>
          <w:szCs w:val="24"/>
          <w:lang w:eastAsia="it-IT"/>
        </w:rPr>
        <w:t>NTO GENERALE DELLA GESTIONE 202</w:t>
      </w:r>
      <w:r w:rsidR="00DD111D">
        <w:rPr>
          <w:rFonts w:ascii="Times New Roman" w:hAnsi="Times New Roman"/>
          <w:b/>
          <w:sz w:val="28"/>
          <w:szCs w:val="24"/>
          <w:lang w:eastAsia="it-IT"/>
        </w:rPr>
        <w:t>4 E DEL PREVENTIVO 2025</w:t>
      </w:r>
    </w:p>
    <w:p w14:paraId="0CC7A5BD" w14:textId="77777777" w:rsidR="00ED67EE" w:rsidRDefault="00ED67EE" w:rsidP="00B92C18">
      <w:pPr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622E0538" w14:textId="77777777" w:rsidR="00ED67EE" w:rsidRPr="009C22B5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C22B5">
        <w:rPr>
          <w:rFonts w:ascii="Times New Roman" w:hAnsi="Times New Roman"/>
          <w:sz w:val="24"/>
          <w:szCs w:val="24"/>
          <w:lang w:eastAsia="it-IT"/>
        </w:rPr>
        <w:t xml:space="preserve">Gentili Colleghe, Pregiati Colleghi, </w:t>
      </w:r>
    </w:p>
    <w:p w14:paraId="624850A4" w14:textId="77EA1651" w:rsidR="00ED67EE" w:rsidRPr="00D612C4" w:rsidRDefault="00F1545D" w:rsidP="0065354D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  <w:r w:rsidRPr="009C22B5">
        <w:rPr>
          <w:rFonts w:ascii="Times New Roman" w:hAnsi="Times New Roman"/>
          <w:sz w:val="24"/>
          <w:szCs w:val="24"/>
          <w:lang w:eastAsia="it-IT"/>
        </w:rPr>
        <w:t xml:space="preserve">l’Assemblea degli Iscritti convocata per il </w:t>
      </w:r>
      <w:r w:rsidR="00E0143A" w:rsidRPr="009C22B5">
        <w:rPr>
          <w:rFonts w:ascii="Times New Roman" w:hAnsi="Times New Roman"/>
          <w:sz w:val="24"/>
          <w:szCs w:val="24"/>
          <w:lang w:eastAsia="it-IT"/>
        </w:rPr>
        <w:t xml:space="preserve">giorno </w:t>
      </w:r>
      <w:r w:rsidR="00DD111D">
        <w:rPr>
          <w:rFonts w:ascii="Times New Roman" w:hAnsi="Times New Roman"/>
          <w:sz w:val="24"/>
          <w:szCs w:val="24"/>
          <w:lang w:eastAsia="it-IT"/>
        </w:rPr>
        <w:t>30</w:t>
      </w:r>
      <w:r w:rsidR="00E0143A" w:rsidRPr="009C22B5">
        <w:rPr>
          <w:rFonts w:ascii="Times New Roman" w:hAnsi="Times New Roman"/>
          <w:sz w:val="24"/>
          <w:szCs w:val="24"/>
          <w:lang w:eastAsia="it-IT"/>
        </w:rPr>
        <w:t xml:space="preserve"> aprile 202</w:t>
      </w:r>
      <w:r w:rsidR="00DD111D">
        <w:rPr>
          <w:rFonts w:ascii="Times New Roman" w:hAnsi="Times New Roman"/>
          <w:sz w:val="24"/>
          <w:szCs w:val="24"/>
          <w:lang w:eastAsia="it-IT"/>
        </w:rPr>
        <w:t>5</w:t>
      </w:r>
      <w:r w:rsidRPr="009C22B5">
        <w:rPr>
          <w:rFonts w:ascii="Times New Roman" w:hAnsi="Times New Roman"/>
          <w:sz w:val="24"/>
          <w:szCs w:val="24"/>
          <w:lang w:eastAsia="it-IT"/>
        </w:rPr>
        <w:t xml:space="preserve"> è chiamata ad esaminare e ad approvare il Rendiconto generale della gestione </w:t>
      </w:r>
      <w:r w:rsidR="00B92C18" w:rsidRPr="009C22B5">
        <w:rPr>
          <w:rFonts w:ascii="Times New Roman" w:hAnsi="Times New Roman"/>
          <w:sz w:val="24"/>
          <w:szCs w:val="24"/>
          <w:lang w:eastAsia="it-IT"/>
        </w:rPr>
        <w:t>dell’esercizio 202</w:t>
      </w:r>
      <w:r w:rsidR="00DD111D">
        <w:rPr>
          <w:rFonts w:ascii="Times New Roman" w:hAnsi="Times New Roman"/>
          <w:sz w:val="24"/>
          <w:szCs w:val="24"/>
          <w:lang w:eastAsia="it-IT"/>
        </w:rPr>
        <w:t>4</w:t>
      </w:r>
      <w:r w:rsidR="008B3B6C">
        <w:rPr>
          <w:rFonts w:ascii="Times New Roman" w:hAnsi="Times New Roman"/>
          <w:sz w:val="24"/>
          <w:szCs w:val="24"/>
          <w:lang w:eastAsia="it-IT"/>
        </w:rPr>
        <w:t>.</w:t>
      </w:r>
    </w:p>
    <w:p w14:paraId="0B4A96E5" w14:textId="77777777" w:rsidR="00ED67EE" w:rsidRPr="009C22B5" w:rsidRDefault="00ED67EE" w:rsidP="00B92C18">
      <w:pPr>
        <w:spacing w:after="0" w:line="360" w:lineRule="auto"/>
        <w:jc w:val="both"/>
        <w:rPr>
          <w:rFonts w:ascii="Arial" w:hAnsi="Arial" w:cs="Arial"/>
          <w:b/>
          <w:sz w:val="25"/>
          <w:szCs w:val="25"/>
          <w:highlight w:val="yellow"/>
          <w:lang w:eastAsia="it-IT"/>
        </w:rPr>
      </w:pPr>
    </w:p>
    <w:p w14:paraId="478B9792" w14:textId="77777777" w:rsidR="00ED67EE" w:rsidRPr="00757037" w:rsidRDefault="00F1545D" w:rsidP="00B92C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757037">
        <w:rPr>
          <w:rFonts w:ascii="Times New Roman" w:hAnsi="Times New Roman"/>
          <w:b/>
          <w:sz w:val="24"/>
          <w:szCs w:val="24"/>
          <w:lang w:eastAsia="it-IT"/>
        </w:rPr>
        <w:t>Il Conto del Bilancio o Rendiconto Finanziario Gestionale</w:t>
      </w:r>
    </w:p>
    <w:p w14:paraId="5142A7B6" w14:textId="77777777" w:rsidR="00ED67EE" w:rsidRPr="00757037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57037">
        <w:rPr>
          <w:rFonts w:ascii="Times New Roman" w:hAnsi="Times New Roman"/>
          <w:sz w:val="24"/>
          <w:szCs w:val="24"/>
          <w:lang w:eastAsia="it-IT"/>
        </w:rPr>
        <w:t>Tale documento espone i risultati della gestione delle entrate e delle uscite.</w:t>
      </w:r>
    </w:p>
    <w:p w14:paraId="0918C984" w14:textId="7B61F8F9" w:rsidR="00ED67EE" w:rsidRPr="00757037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57037">
        <w:rPr>
          <w:rFonts w:ascii="Times New Roman" w:hAnsi="Times New Roman"/>
          <w:sz w:val="24"/>
          <w:szCs w:val="24"/>
          <w:lang w:eastAsia="it-IT"/>
        </w:rPr>
        <w:t>Il Rendiconto Finanziario Gestionale è formulato secondo il criterio di imputazione temporale delle operazioni, q</w:t>
      </w:r>
      <w:r w:rsidR="00B92C18" w:rsidRPr="00757037">
        <w:rPr>
          <w:rFonts w:ascii="Times New Roman" w:hAnsi="Times New Roman"/>
          <w:sz w:val="24"/>
          <w:szCs w:val="24"/>
          <w:lang w:eastAsia="it-IT"/>
        </w:rPr>
        <w:t>uello di competenza finanziaria, che attribuisce un’</w:t>
      </w:r>
      <w:r w:rsidRPr="00757037">
        <w:rPr>
          <w:rFonts w:ascii="Times New Roman" w:hAnsi="Times New Roman"/>
          <w:sz w:val="24"/>
          <w:szCs w:val="24"/>
          <w:lang w:eastAsia="it-IT"/>
        </w:rPr>
        <w:t>operazione di entrata o di spesa all’esercizio nel quale la stessa è stata accertata o impegnata.</w:t>
      </w:r>
    </w:p>
    <w:p w14:paraId="16F78142" w14:textId="77777777" w:rsidR="00ED67EE" w:rsidRPr="00757037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57037">
        <w:rPr>
          <w:rFonts w:ascii="Times New Roman" w:hAnsi="Times New Roman"/>
          <w:sz w:val="24"/>
          <w:szCs w:val="24"/>
          <w:lang w:eastAsia="it-IT"/>
        </w:rPr>
        <w:t>Si precisa che un’entrata si considera “accertata” quando vengono determinati tutti gli elementi che identificano il credito, tipicamente la motivazione, il debitore, l’esatto ammontare del debito e la sua scadenza.</w:t>
      </w:r>
    </w:p>
    <w:p w14:paraId="30266C36" w14:textId="77777777" w:rsidR="00ED67EE" w:rsidRPr="00757037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57037">
        <w:rPr>
          <w:rFonts w:ascii="Times New Roman" w:hAnsi="Times New Roman"/>
          <w:sz w:val="24"/>
          <w:szCs w:val="24"/>
          <w:lang w:eastAsia="it-IT"/>
        </w:rPr>
        <w:t>Un’uscita si considera “impegnata” quando sussiste la manifesta volontà di vincolare fonti finanziarie ad uno scopo preciso ed entro una determinata scadenza.</w:t>
      </w:r>
    </w:p>
    <w:p w14:paraId="4D12260A" w14:textId="77777777" w:rsidR="00ED67EE" w:rsidRPr="005D6BA2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D6BA2">
        <w:rPr>
          <w:rFonts w:ascii="Times New Roman" w:hAnsi="Times New Roman"/>
          <w:sz w:val="24"/>
          <w:szCs w:val="24"/>
          <w:lang w:eastAsia="it-IT"/>
        </w:rPr>
        <w:t xml:space="preserve">Il Rendiconto Finanziario Gestionale riporta, inoltre, le previsioni iniziali, le variazioni deliberate in corso d’anno al preventivo e le previsioni definitive. </w:t>
      </w:r>
    </w:p>
    <w:p w14:paraId="4C4A1FFB" w14:textId="57EF648B" w:rsidR="00ED67EE" w:rsidRPr="005D6BA2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D6BA2">
        <w:rPr>
          <w:rFonts w:ascii="Times New Roman" w:hAnsi="Times New Roman"/>
          <w:sz w:val="24"/>
          <w:szCs w:val="24"/>
          <w:lang w:eastAsia="it-IT"/>
        </w:rPr>
        <w:t>Il Rendiconto Finanziario</w:t>
      </w:r>
      <w:r w:rsidR="00B736E0" w:rsidRPr="005D6BA2">
        <w:rPr>
          <w:rFonts w:ascii="Times New Roman" w:hAnsi="Times New Roman"/>
          <w:sz w:val="24"/>
          <w:szCs w:val="24"/>
          <w:lang w:eastAsia="it-IT"/>
        </w:rPr>
        <w:t xml:space="preserve"> Gestionale </w:t>
      </w:r>
      <w:r w:rsidRPr="005D6BA2">
        <w:rPr>
          <w:rFonts w:ascii="Times New Roman" w:hAnsi="Times New Roman"/>
          <w:sz w:val="24"/>
          <w:szCs w:val="24"/>
          <w:lang w:eastAsia="it-IT"/>
        </w:rPr>
        <w:t>è stato suddiviso ne</w:t>
      </w:r>
      <w:r w:rsidR="00591410">
        <w:rPr>
          <w:rFonts w:ascii="Times New Roman" w:hAnsi="Times New Roman"/>
          <w:sz w:val="24"/>
          <w:szCs w:val="24"/>
          <w:lang w:eastAsia="it-IT"/>
        </w:rPr>
        <w:t xml:space="preserve">lle tre </w:t>
      </w:r>
      <w:r w:rsidR="00703351">
        <w:rPr>
          <w:rFonts w:ascii="Times New Roman" w:hAnsi="Times New Roman"/>
          <w:sz w:val="24"/>
          <w:szCs w:val="24"/>
          <w:lang w:eastAsia="it-IT"/>
        </w:rPr>
        <w:t>aree</w:t>
      </w:r>
      <w:r w:rsidRPr="005D6BA2">
        <w:rPr>
          <w:rFonts w:ascii="Times New Roman" w:hAnsi="Times New Roman"/>
          <w:sz w:val="24"/>
          <w:szCs w:val="24"/>
          <w:lang w:eastAsia="it-IT"/>
        </w:rPr>
        <w:t xml:space="preserve"> corrispondenti all’attività istituzionale</w:t>
      </w:r>
      <w:r w:rsidR="00591410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5D6BA2">
        <w:rPr>
          <w:rFonts w:ascii="Times New Roman" w:hAnsi="Times New Roman"/>
          <w:sz w:val="24"/>
          <w:szCs w:val="24"/>
          <w:lang w:eastAsia="it-IT"/>
        </w:rPr>
        <w:t>a quella di mediazione</w:t>
      </w:r>
      <w:r w:rsidR="00591410">
        <w:rPr>
          <w:rFonts w:ascii="Times New Roman" w:hAnsi="Times New Roman"/>
          <w:sz w:val="24"/>
          <w:szCs w:val="24"/>
          <w:lang w:eastAsia="it-IT"/>
        </w:rPr>
        <w:t xml:space="preserve"> e a quella dell’Organismo della Composizione della Crisi</w:t>
      </w:r>
      <w:r w:rsidRPr="005D6BA2">
        <w:rPr>
          <w:rFonts w:ascii="Times New Roman" w:hAnsi="Times New Roman"/>
          <w:sz w:val="24"/>
          <w:szCs w:val="24"/>
          <w:lang w:eastAsia="it-IT"/>
        </w:rPr>
        <w:t>.</w:t>
      </w:r>
    </w:p>
    <w:p w14:paraId="695B63DD" w14:textId="6825D9EE" w:rsidR="00515C40" w:rsidRPr="005D6BA2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D6BA2">
        <w:rPr>
          <w:rFonts w:ascii="Times New Roman" w:hAnsi="Times New Roman"/>
          <w:sz w:val="24"/>
          <w:szCs w:val="24"/>
          <w:lang w:eastAsia="it-IT"/>
        </w:rPr>
        <w:t xml:space="preserve">Le voci principali che compongono il Rendiconto Finanziario Gestionale possono essere così riassunte e commentate a confronto con </w:t>
      </w:r>
      <w:r w:rsidR="006C17C9">
        <w:rPr>
          <w:rFonts w:ascii="Times New Roman" w:hAnsi="Times New Roman"/>
          <w:sz w:val="24"/>
          <w:szCs w:val="24"/>
          <w:lang w:eastAsia="it-IT"/>
        </w:rPr>
        <w:t>il rendiconto dell’esercizio precedente</w:t>
      </w:r>
      <w:r w:rsidRPr="005D6BA2">
        <w:rPr>
          <w:rFonts w:ascii="Times New Roman" w:hAnsi="Times New Roman"/>
          <w:sz w:val="24"/>
          <w:szCs w:val="24"/>
          <w:lang w:eastAsia="it-IT"/>
        </w:rPr>
        <w:t>.</w:t>
      </w:r>
    </w:p>
    <w:p w14:paraId="6883AC67" w14:textId="397CE794" w:rsidR="00B92C18" w:rsidRPr="005D6BA2" w:rsidRDefault="00B92C18" w:rsidP="00B92C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5D6BA2">
        <w:rPr>
          <w:rFonts w:ascii="Times New Roman" w:hAnsi="Times New Roman"/>
          <w:b/>
          <w:sz w:val="24"/>
          <w:szCs w:val="24"/>
          <w:u w:val="single"/>
          <w:lang w:eastAsia="it-IT"/>
        </w:rPr>
        <w:t>Entrate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127"/>
      </w:tblGrid>
      <w:tr w:rsidR="00B92C18" w:rsidRPr="005D6BA2" w14:paraId="49943505" w14:textId="77777777" w:rsidTr="00B92C18">
        <w:tc>
          <w:tcPr>
            <w:tcW w:w="2547" w:type="dxa"/>
          </w:tcPr>
          <w:p w14:paraId="2D6234B0" w14:textId="6A8A7BA2" w:rsidR="00B92C18" w:rsidRPr="005D6BA2" w:rsidRDefault="005D6BA2" w:rsidP="00B92C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bookmarkStart w:id="0" w:name="_Hlk69134257"/>
            <w:r w:rsidRPr="005D6BA2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Consuntivo 202</w:t>
            </w:r>
            <w:r w:rsidR="00D10FDB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2410" w:type="dxa"/>
          </w:tcPr>
          <w:p w14:paraId="2A5EA3A9" w14:textId="0E0273AC" w:rsidR="00B92C18" w:rsidRPr="005D6BA2" w:rsidRDefault="005D6BA2" w:rsidP="00B92C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5D6BA2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Consuntivo 202</w:t>
            </w:r>
            <w:r w:rsidR="00D10FDB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2409" w:type="dxa"/>
          </w:tcPr>
          <w:p w14:paraId="384B3962" w14:textId="77777777" w:rsidR="00B92C18" w:rsidRPr="005D6BA2" w:rsidRDefault="00B92C18" w:rsidP="00B92C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5D6BA2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Differenza</w:t>
            </w:r>
          </w:p>
        </w:tc>
        <w:tc>
          <w:tcPr>
            <w:tcW w:w="2127" w:type="dxa"/>
          </w:tcPr>
          <w:p w14:paraId="38E5239E" w14:textId="77777777" w:rsidR="00B92C18" w:rsidRPr="005D6BA2" w:rsidRDefault="00B92C18" w:rsidP="00B92C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5D6BA2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Differenza %</w:t>
            </w:r>
          </w:p>
        </w:tc>
      </w:tr>
      <w:tr w:rsidR="00B92C18" w:rsidRPr="005D6BA2" w14:paraId="1C975935" w14:textId="77777777" w:rsidTr="00B92C18">
        <w:tc>
          <w:tcPr>
            <w:tcW w:w="2547" w:type="dxa"/>
          </w:tcPr>
          <w:p w14:paraId="31DA9338" w14:textId="3828BA40" w:rsidR="00B92C18" w:rsidRPr="005D6BA2" w:rsidRDefault="003D183F" w:rsidP="00B92C1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1.</w:t>
            </w:r>
            <w:r w:rsidR="00D10FDB">
              <w:rPr>
                <w:rFonts w:ascii="Times New Roman" w:hAnsi="Times New Roman"/>
                <w:sz w:val="24"/>
                <w:szCs w:val="20"/>
                <w:lang w:eastAsia="it-IT"/>
              </w:rPr>
              <w:t>420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.</w:t>
            </w:r>
            <w:r w:rsidR="00D10FDB">
              <w:rPr>
                <w:rFonts w:ascii="Times New Roman" w:hAnsi="Times New Roman"/>
                <w:sz w:val="24"/>
                <w:szCs w:val="20"/>
                <w:lang w:eastAsia="it-IT"/>
              </w:rPr>
              <w:t>219</w:t>
            </w:r>
          </w:p>
        </w:tc>
        <w:tc>
          <w:tcPr>
            <w:tcW w:w="2410" w:type="dxa"/>
          </w:tcPr>
          <w:p w14:paraId="617DEC85" w14:textId="1131468E" w:rsidR="00B92C18" w:rsidRPr="005D6BA2" w:rsidRDefault="00D10FDB" w:rsidP="005D6BA2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1.013.000</w:t>
            </w:r>
          </w:p>
        </w:tc>
        <w:tc>
          <w:tcPr>
            <w:tcW w:w="2409" w:type="dxa"/>
          </w:tcPr>
          <w:p w14:paraId="463E2F1D" w14:textId="51E4DC1E" w:rsidR="00B92C18" w:rsidRPr="00D10FDB" w:rsidRDefault="00D10FDB" w:rsidP="00D10FD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407.219</w:t>
            </w:r>
          </w:p>
        </w:tc>
        <w:tc>
          <w:tcPr>
            <w:tcW w:w="2127" w:type="dxa"/>
          </w:tcPr>
          <w:p w14:paraId="5AA239FC" w14:textId="0E85C686" w:rsidR="00B92C18" w:rsidRPr="005D6BA2" w:rsidRDefault="00D10FDB" w:rsidP="00B92C1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40</w:t>
            </w:r>
            <w:r w:rsidR="003D183F">
              <w:rPr>
                <w:rFonts w:ascii="Times New Roman" w:hAnsi="Times New Roman"/>
                <w:sz w:val="24"/>
                <w:szCs w:val="20"/>
                <w:lang w:eastAsia="it-IT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20</w:t>
            </w:r>
            <w:r w:rsidR="003D183F">
              <w:rPr>
                <w:rFonts w:ascii="Times New Roman" w:hAnsi="Times New Roman"/>
                <w:sz w:val="24"/>
                <w:szCs w:val="20"/>
                <w:lang w:eastAsia="it-IT"/>
              </w:rPr>
              <w:t>%</w:t>
            </w:r>
          </w:p>
        </w:tc>
      </w:tr>
      <w:bookmarkEnd w:id="0"/>
    </w:tbl>
    <w:p w14:paraId="754605DD" w14:textId="77777777" w:rsidR="00ED67EE" w:rsidRPr="009C22B5" w:rsidRDefault="00ED67EE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14:paraId="5538B1FC" w14:textId="3D7C158B" w:rsidR="00ED67EE" w:rsidRPr="003D183F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183F">
        <w:rPr>
          <w:rFonts w:ascii="Times New Roman" w:hAnsi="Times New Roman"/>
          <w:sz w:val="24"/>
          <w:szCs w:val="24"/>
          <w:lang w:eastAsia="it-IT"/>
        </w:rPr>
        <w:t>Si espone il relativo dettaglio: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928"/>
        <w:gridCol w:w="1930"/>
        <w:gridCol w:w="1784"/>
        <w:gridCol w:w="1598"/>
      </w:tblGrid>
      <w:tr w:rsidR="00AC0666" w:rsidRPr="003D183F" w14:paraId="1EDB567C" w14:textId="77777777" w:rsidTr="00AC0666">
        <w:tc>
          <w:tcPr>
            <w:tcW w:w="2289" w:type="dxa"/>
          </w:tcPr>
          <w:p w14:paraId="7B10F519" w14:textId="1EAE0CC2" w:rsidR="00AC0666" w:rsidRPr="003D183F" w:rsidRDefault="00AC0666" w:rsidP="00AC0666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b/>
                <w:szCs w:val="20"/>
                <w:lang w:eastAsia="it-IT"/>
              </w:rPr>
              <w:t>Tipologia entrate</w:t>
            </w:r>
          </w:p>
        </w:tc>
        <w:tc>
          <w:tcPr>
            <w:tcW w:w="0" w:type="auto"/>
          </w:tcPr>
          <w:p w14:paraId="5497B724" w14:textId="48821FB9" w:rsidR="00AC0666" w:rsidRPr="003D183F" w:rsidRDefault="00AC0666" w:rsidP="00AC0666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b/>
                <w:szCs w:val="20"/>
                <w:lang w:eastAsia="it-IT"/>
              </w:rPr>
              <w:t>Consuntivo 202</w:t>
            </w:r>
            <w:r w:rsidR="00D10FDB">
              <w:rPr>
                <w:rFonts w:ascii="Times New Roman" w:hAnsi="Times New Roman"/>
                <w:b/>
                <w:szCs w:val="20"/>
                <w:lang w:eastAsia="it-IT"/>
              </w:rPr>
              <w:t>4</w:t>
            </w:r>
          </w:p>
        </w:tc>
        <w:tc>
          <w:tcPr>
            <w:tcW w:w="1930" w:type="dxa"/>
          </w:tcPr>
          <w:p w14:paraId="3200E5C1" w14:textId="1DC84640" w:rsidR="00AC0666" w:rsidRPr="003D183F" w:rsidRDefault="00AC0666" w:rsidP="00AC0666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b/>
                <w:szCs w:val="20"/>
                <w:lang w:eastAsia="it-IT"/>
              </w:rPr>
              <w:t>Consuntivo 202</w:t>
            </w:r>
            <w:r w:rsidR="00D10FDB">
              <w:rPr>
                <w:rFonts w:ascii="Times New Roman" w:hAnsi="Times New Roman"/>
                <w:b/>
                <w:szCs w:val="20"/>
                <w:lang w:eastAsia="it-IT"/>
              </w:rPr>
              <w:t>3</w:t>
            </w:r>
          </w:p>
        </w:tc>
        <w:tc>
          <w:tcPr>
            <w:tcW w:w="1784" w:type="dxa"/>
          </w:tcPr>
          <w:p w14:paraId="1FDBD467" w14:textId="77777777" w:rsidR="00AC0666" w:rsidRPr="003D183F" w:rsidRDefault="00AC0666" w:rsidP="00AC0666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b/>
                <w:szCs w:val="20"/>
                <w:lang w:eastAsia="it-IT"/>
              </w:rPr>
              <w:t>Differenza</w:t>
            </w:r>
          </w:p>
        </w:tc>
        <w:tc>
          <w:tcPr>
            <w:tcW w:w="0" w:type="auto"/>
          </w:tcPr>
          <w:p w14:paraId="4F70362E" w14:textId="77777777" w:rsidR="00AC0666" w:rsidRPr="003D183F" w:rsidRDefault="00AC0666" w:rsidP="00AC0666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b/>
                <w:szCs w:val="20"/>
                <w:lang w:eastAsia="it-IT"/>
              </w:rPr>
              <w:t>Differenza %</w:t>
            </w:r>
          </w:p>
        </w:tc>
      </w:tr>
      <w:tr w:rsidR="00AC0666" w:rsidRPr="003D183F" w14:paraId="58683F65" w14:textId="77777777" w:rsidTr="00AC0666">
        <w:tc>
          <w:tcPr>
            <w:tcW w:w="2289" w:type="dxa"/>
          </w:tcPr>
          <w:p w14:paraId="5F91895E" w14:textId="77777777" w:rsidR="00AC0666" w:rsidRPr="003D183F" w:rsidRDefault="00AC0666" w:rsidP="00AC0666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szCs w:val="20"/>
                <w:lang w:eastAsia="it-IT"/>
              </w:rPr>
              <w:t>Tasse annuali</w:t>
            </w:r>
          </w:p>
        </w:tc>
        <w:tc>
          <w:tcPr>
            <w:tcW w:w="0" w:type="auto"/>
          </w:tcPr>
          <w:p w14:paraId="6D4FCF6F" w14:textId="3B170F06" w:rsidR="00AC0666" w:rsidRPr="003D183F" w:rsidRDefault="003D183F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szCs w:val="20"/>
                <w:lang w:eastAsia="it-IT"/>
              </w:rPr>
              <w:t>5</w:t>
            </w:r>
            <w:r w:rsidR="00D10FDB">
              <w:rPr>
                <w:rFonts w:ascii="Times New Roman" w:hAnsi="Times New Roman"/>
                <w:szCs w:val="20"/>
                <w:lang w:eastAsia="it-IT"/>
              </w:rPr>
              <w:t>80</w:t>
            </w:r>
            <w:r w:rsidRPr="003D183F">
              <w:rPr>
                <w:rFonts w:ascii="Times New Roman" w:hAnsi="Times New Roman"/>
                <w:szCs w:val="20"/>
                <w:lang w:eastAsia="it-IT"/>
              </w:rPr>
              <w:t>.</w:t>
            </w:r>
            <w:r w:rsidR="00D10FDB">
              <w:rPr>
                <w:rFonts w:ascii="Times New Roman" w:hAnsi="Times New Roman"/>
                <w:szCs w:val="20"/>
                <w:lang w:eastAsia="it-IT"/>
              </w:rPr>
              <w:t>660</w:t>
            </w:r>
          </w:p>
        </w:tc>
        <w:tc>
          <w:tcPr>
            <w:tcW w:w="1930" w:type="dxa"/>
          </w:tcPr>
          <w:p w14:paraId="70C5DE50" w14:textId="7305A705" w:rsidR="00AC0666" w:rsidRPr="003D183F" w:rsidRDefault="00D10FDB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szCs w:val="20"/>
                <w:lang w:eastAsia="it-IT"/>
              </w:rPr>
              <w:t>592.010</w:t>
            </w:r>
          </w:p>
        </w:tc>
        <w:tc>
          <w:tcPr>
            <w:tcW w:w="1784" w:type="dxa"/>
          </w:tcPr>
          <w:p w14:paraId="0AE37400" w14:textId="68519FFE" w:rsidR="00AC0666" w:rsidRPr="003D183F" w:rsidRDefault="003D183F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szCs w:val="20"/>
                <w:lang w:eastAsia="it-IT"/>
              </w:rPr>
              <w:t xml:space="preserve">-        </w:t>
            </w:r>
            <w:r w:rsidR="00D10FDB">
              <w:rPr>
                <w:rFonts w:ascii="Times New Roman" w:hAnsi="Times New Roman"/>
                <w:szCs w:val="20"/>
                <w:lang w:eastAsia="it-IT"/>
              </w:rPr>
              <w:t>11.350</w:t>
            </w:r>
          </w:p>
        </w:tc>
        <w:tc>
          <w:tcPr>
            <w:tcW w:w="0" w:type="auto"/>
          </w:tcPr>
          <w:p w14:paraId="52E5E3FD" w14:textId="1F549AF9" w:rsidR="00AC0666" w:rsidRPr="003D183F" w:rsidRDefault="003D183F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szCs w:val="20"/>
                <w:lang w:eastAsia="it-IT"/>
              </w:rPr>
              <w:t xml:space="preserve">-      </w:t>
            </w:r>
            <w:r w:rsidR="00D10FDB">
              <w:rPr>
                <w:rFonts w:ascii="Times New Roman" w:hAnsi="Times New Roman"/>
                <w:szCs w:val="20"/>
                <w:lang w:eastAsia="it-IT"/>
              </w:rPr>
              <w:t>1</w:t>
            </w:r>
            <w:r w:rsidRPr="003D183F">
              <w:rPr>
                <w:rFonts w:ascii="Times New Roman" w:hAnsi="Times New Roman"/>
                <w:szCs w:val="20"/>
                <w:lang w:eastAsia="it-IT"/>
              </w:rPr>
              <w:t>,</w:t>
            </w:r>
            <w:r w:rsidR="00D10FDB">
              <w:rPr>
                <w:rFonts w:ascii="Times New Roman" w:hAnsi="Times New Roman"/>
                <w:szCs w:val="20"/>
                <w:lang w:eastAsia="it-IT"/>
              </w:rPr>
              <w:t>92</w:t>
            </w:r>
            <w:r w:rsidR="00AC0666" w:rsidRPr="003D183F">
              <w:rPr>
                <w:rFonts w:ascii="Times New Roman" w:hAnsi="Times New Roman"/>
                <w:szCs w:val="20"/>
                <w:lang w:eastAsia="it-IT"/>
              </w:rPr>
              <w:t>%</w:t>
            </w:r>
          </w:p>
        </w:tc>
      </w:tr>
      <w:tr w:rsidR="00591410" w:rsidRPr="003D183F" w14:paraId="79362307" w14:textId="77777777" w:rsidTr="00AC0666">
        <w:tc>
          <w:tcPr>
            <w:tcW w:w="2289" w:type="dxa"/>
          </w:tcPr>
          <w:p w14:paraId="393100C5" w14:textId="2B0E80AD" w:rsidR="00591410" w:rsidRPr="003D183F" w:rsidRDefault="00591410" w:rsidP="00AC0666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Mediazione</w:t>
            </w:r>
          </w:p>
        </w:tc>
        <w:tc>
          <w:tcPr>
            <w:tcW w:w="0" w:type="auto"/>
          </w:tcPr>
          <w:p w14:paraId="27F7604E" w14:textId="637C1946" w:rsidR="00591410" w:rsidRPr="003D183F" w:rsidRDefault="00D10FDB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720</w:t>
            </w:r>
            <w:r w:rsidR="00591410">
              <w:rPr>
                <w:rFonts w:ascii="Times New Roman" w:hAnsi="Times New Roman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szCs w:val="20"/>
                <w:lang w:eastAsia="it-IT"/>
              </w:rPr>
              <w:t>150</w:t>
            </w:r>
          </w:p>
        </w:tc>
        <w:tc>
          <w:tcPr>
            <w:tcW w:w="1930" w:type="dxa"/>
          </w:tcPr>
          <w:p w14:paraId="583668E6" w14:textId="18D93212" w:rsidR="00591410" w:rsidRPr="003D183F" w:rsidRDefault="00D10FDB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337.236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A633438" w14:textId="26231FA3" w:rsidR="00591410" w:rsidRPr="003D183F" w:rsidRDefault="000113F9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382</w:t>
            </w:r>
            <w:r w:rsidR="00591410">
              <w:rPr>
                <w:rFonts w:ascii="Times New Roman" w:hAnsi="Times New Roman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szCs w:val="20"/>
                <w:lang w:eastAsia="it-IT"/>
              </w:rPr>
              <w:t>914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D71B11" w14:textId="3162A288" w:rsidR="00591410" w:rsidRPr="003D183F" w:rsidRDefault="000113F9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113</w:t>
            </w:r>
            <w:r w:rsidR="00591410" w:rsidRPr="003D183F">
              <w:rPr>
                <w:rFonts w:ascii="Times New Roman" w:hAnsi="Times New Roman"/>
                <w:szCs w:val="20"/>
                <w:lang w:eastAsia="it-IT"/>
              </w:rPr>
              <w:t>,</w:t>
            </w:r>
            <w:r>
              <w:rPr>
                <w:rFonts w:ascii="Times New Roman" w:hAnsi="Times New Roman"/>
                <w:szCs w:val="20"/>
                <w:lang w:eastAsia="it-IT"/>
              </w:rPr>
              <w:t>54</w:t>
            </w:r>
            <w:r w:rsidR="00591410" w:rsidRPr="003D183F">
              <w:rPr>
                <w:rFonts w:ascii="Times New Roman" w:hAnsi="Times New Roman"/>
                <w:szCs w:val="20"/>
                <w:lang w:eastAsia="it-IT"/>
              </w:rPr>
              <w:t>%</w:t>
            </w:r>
          </w:p>
        </w:tc>
      </w:tr>
      <w:tr w:rsidR="00AC0666" w:rsidRPr="003D183F" w14:paraId="2F10225B" w14:textId="77777777" w:rsidTr="00AC0666">
        <w:tc>
          <w:tcPr>
            <w:tcW w:w="2289" w:type="dxa"/>
          </w:tcPr>
          <w:p w14:paraId="3254E168" w14:textId="09C31527" w:rsidR="00AC0666" w:rsidRPr="003D183F" w:rsidRDefault="00591410" w:rsidP="00AC0666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OCC</w:t>
            </w:r>
          </w:p>
        </w:tc>
        <w:tc>
          <w:tcPr>
            <w:tcW w:w="0" w:type="auto"/>
          </w:tcPr>
          <w:p w14:paraId="7D5812D7" w14:textId="759EFC75" w:rsidR="00AC0666" w:rsidRPr="003D183F" w:rsidRDefault="00D10FDB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77.541</w:t>
            </w:r>
          </w:p>
        </w:tc>
        <w:tc>
          <w:tcPr>
            <w:tcW w:w="1930" w:type="dxa"/>
          </w:tcPr>
          <w:p w14:paraId="6A75FF66" w14:textId="548BD6C4" w:rsidR="00AC0666" w:rsidRPr="003D183F" w:rsidRDefault="000113F9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29</w:t>
            </w:r>
            <w:r w:rsidR="00D10FDB" w:rsidRPr="003D183F">
              <w:rPr>
                <w:rFonts w:ascii="Times New Roman" w:hAnsi="Times New Roman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szCs w:val="20"/>
                <w:lang w:eastAsia="it-IT"/>
              </w:rPr>
              <w:t>581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003AE7B" w14:textId="36F82770" w:rsidR="00AC0666" w:rsidRPr="003D183F" w:rsidRDefault="00591410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14.737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494CB1" w14:textId="3232CD60" w:rsidR="00AC0666" w:rsidRPr="003D183F" w:rsidRDefault="000113F9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61,68</w:t>
            </w:r>
            <w:r w:rsidR="00AC0666" w:rsidRPr="003D183F">
              <w:rPr>
                <w:rFonts w:ascii="Times New Roman" w:hAnsi="Times New Roman"/>
                <w:szCs w:val="20"/>
                <w:lang w:eastAsia="it-IT"/>
              </w:rPr>
              <w:t>%</w:t>
            </w:r>
          </w:p>
        </w:tc>
      </w:tr>
      <w:tr w:rsidR="00AC0666" w:rsidRPr="003D183F" w14:paraId="6BB0F970" w14:textId="77777777" w:rsidTr="00AC0666">
        <w:tc>
          <w:tcPr>
            <w:tcW w:w="2289" w:type="dxa"/>
          </w:tcPr>
          <w:p w14:paraId="1902C0DF" w14:textId="77777777" w:rsidR="00AC0666" w:rsidRPr="003D183F" w:rsidRDefault="00AC0666" w:rsidP="00AC0666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szCs w:val="20"/>
                <w:lang w:eastAsia="it-IT"/>
              </w:rPr>
              <w:t>Altre</w:t>
            </w:r>
          </w:p>
        </w:tc>
        <w:tc>
          <w:tcPr>
            <w:tcW w:w="0" w:type="auto"/>
          </w:tcPr>
          <w:p w14:paraId="19ADED40" w14:textId="16DB1091" w:rsidR="00AC0666" w:rsidRPr="003D183F" w:rsidRDefault="00D10FDB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41</w:t>
            </w:r>
            <w:r w:rsidR="003D183F" w:rsidRPr="003D183F">
              <w:rPr>
                <w:rFonts w:ascii="Times New Roman" w:hAnsi="Times New Roman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szCs w:val="20"/>
                <w:lang w:eastAsia="it-IT"/>
              </w:rPr>
              <w:t>868</w:t>
            </w:r>
          </w:p>
        </w:tc>
        <w:tc>
          <w:tcPr>
            <w:tcW w:w="1930" w:type="dxa"/>
          </w:tcPr>
          <w:p w14:paraId="17026C5D" w14:textId="5B58918E" w:rsidR="00AC0666" w:rsidRPr="003D183F" w:rsidRDefault="00D10FDB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35.794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90D027B" w14:textId="1D38D2F9" w:rsidR="00AC0666" w:rsidRPr="003D183F" w:rsidRDefault="000113F9" w:rsidP="00AC0666">
            <w:pPr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>
              <w:rPr>
                <w:rFonts w:ascii="Times New Roman" w:hAnsi="Times New Roman"/>
                <w:szCs w:val="20"/>
                <w:lang w:eastAsia="it-IT"/>
              </w:rPr>
              <w:t>6</w:t>
            </w:r>
            <w:r w:rsidR="003D183F" w:rsidRPr="003D183F">
              <w:rPr>
                <w:rFonts w:ascii="Times New Roman" w:hAnsi="Times New Roman"/>
                <w:szCs w:val="20"/>
                <w:lang w:eastAsia="it-IT"/>
              </w:rPr>
              <w:t>.</w:t>
            </w:r>
            <w:r w:rsidR="00591410">
              <w:rPr>
                <w:rFonts w:ascii="Times New Roman" w:hAnsi="Times New Roman"/>
                <w:szCs w:val="20"/>
                <w:lang w:eastAsia="it-IT"/>
              </w:rPr>
              <w:t>0</w:t>
            </w:r>
            <w:r>
              <w:rPr>
                <w:rFonts w:ascii="Times New Roman" w:hAnsi="Times New Roman"/>
                <w:szCs w:val="20"/>
                <w:lang w:eastAsia="it-IT"/>
              </w:rPr>
              <w:t>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24F3FC" w14:textId="721C1993" w:rsidR="00AC0666" w:rsidRPr="003D183F" w:rsidRDefault="003D183F" w:rsidP="00AC0666">
            <w:pPr>
              <w:tabs>
                <w:tab w:val="center" w:pos="575"/>
                <w:tab w:val="right" w:pos="1150"/>
              </w:tabs>
              <w:spacing w:after="0" w:line="360" w:lineRule="auto"/>
              <w:jc w:val="right"/>
              <w:rPr>
                <w:rFonts w:ascii="Times New Roman" w:hAnsi="Times New Roman"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szCs w:val="20"/>
                <w:lang w:eastAsia="it-IT"/>
              </w:rPr>
              <w:t>1</w:t>
            </w:r>
            <w:r w:rsidR="00591410">
              <w:rPr>
                <w:rFonts w:ascii="Times New Roman" w:hAnsi="Times New Roman"/>
                <w:szCs w:val="20"/>
                <w:lang w:eastAsia="it-IT"/>
              </w:rPr>
              <w:t>6</w:t>
            </w:r>
            <w:r w:rsidRPr="003D183F">
              <w:rPr>
                <w:rFonts w:ascii="Times New Roman" w:hAnsi="Times New Roman"/>
                <w:szCs w:val="20"/>
                <w:lang w:eastAsia="it-IT"/>
              </w:rPr>
              <w:t>,</w:t>
            </w:r>
            <w:r w:rsidR="000113F9">
              <w:rPr>
                <w:rFonts w:ascii="Times New Roman" w:hAnsi="Times New Roman"/>
                <w:szCs w:val="20"/>
                <w:lang w:eastAsia="it-IT"/>
              </w:rPr>
              <w:t>97</w:t>
            </w:r>
            <w:r w:rsidR="00AC0666" w:rsidRPr="003D183F">
              <w:rPr>
                <w:rFonts w:ascii="Times New Roman" w:hAnsi="Times New Roman"/>
                <w:szCs w:val="20"/>
                <w:lang w:eastAsia="it-IT"/>
              </w:rPr>
              <w:t>%</w:t>
            </w:r>
          </w:p>
        </w:tc>
      </w:tr>
      <w:tr w:rsidR="00AC0666" w:rsidRPr="003D183F" w14:paraId="18CCD8F7" w14:textId="77777777" w:rsidTr="00AC0666">
        <w:tc>
          <w:tcPr>
            <w:tcW w:w="2289" w:type="dxa"/>
          </w:tcPr>
          <w:p w14:paraId="7F5E374B" w14:textId="03A290BF" w:rsidR="00AC0666" w:rsidRPr="003D183F" w:rsidRDefault="00AC0666" w:rsidP="00AC066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</w:pPr>
            <w:r w:rsidRPr="003D183F"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  <w:lastRenderedPageBreak/>
              <w:t>Totale</w:t>
            </w:r>
          </w:p>
        </w:tc>
        <w:tc>
          <w:tcPr>
            <w:tcW w:w="0" w:type="auto"/>
          </w:tcPr>
          <w:p w14:paraId="5C7C30F4" w14:textId="5469B976" w:rsidR="00AC0666" w:rsidRPr="003D183F" w:rsidRDefault="00CF0F27" w:rsidP="00AC0666">
            <w:pPr>
              <w:spacing w:after="0" w:line="360" w:lineRule="auto"/>
              <w:jc w:val="right"/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  <w:t>1.</w:t>
            </w:r>
            <w:r w:rsidR="000113F9"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  <w:t>420</w:t>
            </w:r>
            <w:r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  <w:t>.</w:t>
            </w:r>
            <w:r w:rsidR="000113F9"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  <w:t>219</w:t>
            </w:r>
          </w:p>
        </w:tc>
        <w:tc>
          <w:tcPr>
            <w:tcW w:w="1930" w:type="dxa"/>
          </w:tcPr>
          <w:p w14:paraId="5AF42CD5" w14:textId="3B8A45B8" w:rsidR="00AC0666" w:rsidRPr="003D183F" w:rsidRDefault="00D10FDB" w:rsidP="00AC0666">
            <w:pPr>
              <w:spacing w:after="0" w:line="360" w:lineRule="auto"/>
              <w:jc w:val="right"/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  <w:t>1.013.000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848F8" w14:textId="77777777" w:rsidR="00AC0666" w:rsidRPr="003D183F" w:rsidRDefault="00AC0666" w:rsidP="00AC0666">
            <w:pPr>
              <w:spacing w:after="0" w:line="360" w:lineRule="auto"/>
              <w:jc w:val="right"/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44376" w14:textId="77777777" w:rsidR="00AC0666" w:rsidRPr="003D183F" w:rsidRDefault="00AC0666" w:rsidP="00AC0666">
            <w:pPr>
              <w:spacing w:after="0" w:line="360" w:lineRule="auto"/>
              <w:jc w:val="right"/>
              <w:rPr>
                <w:rFonts w:ascii="Times New Roman" w:hAnsi="Times New Roman"/>
                <w:b/>
                <w:i/>
                <w:iCs/>
                <w:szCs w:val="20"/>
                <w:lang w:eastAsia="it-IT"/>
              </w:rPr>
            </w:pPr>
          </w:p>
        </w:tc>
      </w:tr>
    </w:tbl>
    <w:p w14:paraId="59384DE8" w14:textId="77777777" w:rsidR="00B92C18" w:rsidRPr="003D183F" w:rsidRDefault="00B92C18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14:paraId="2BE67E18" w14:textId="13788B23" w:rsidR="00CF0F27" w:rsidRPr="00CF0F27" w:rsidRDefault="00CF0F27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F0F27">
        <w:rPr>
          <w:rFonts w:ascii="Times New Roman" w:hAnsi="Times New Roman"/>
          <w:sz w:val="24"/>
          <w:szCs w:val="24"/>
          <w:lang w:eastAsia="it-IT"/>
        </w:rPr>
        <w:t xml:space="preserve">Complessivamente, le entrate sono maggiori </w:t>
      </w:r>
      <w:r w:rsidR="000113F9">
        <w:rPr>
          <w:rFonts w:ascii="Times New Roman" w:hAnsi="Times New Roman"/>
          <w:sz w:val="24"/>
          <w:szCs w:val="24"/>
          <w:lang w:eastAsia="it-IT"/>
        </w:rPr>
        <w:t xml:space="preserve">decisamente in aumento </w:t>
      </w:r>
      <w:r w:rsidRPr="00CF0F27">
        <w:rPr>
          <w:rFonts w:ascii="Times New Roman" w:hAnsi="Times New Roman"/>
          <w:sz w:val="24"/>
          <w:szCs w:val="24"/>
          <w:lang w:eastAsia="it-IT"/>
        </w:rPr>
        <w:t xml:space="preserve">rispetto l’esercizio precedente, ed in particolar modo tale incremento è da imputare alle entrate relative all’attività di </w:t>
      </w:r>
      <w:r w:rsidR="00703351">
        <w:rPr>
          <w:rFonts w:ascii="Times New Roman" w:hAnsi="Times New Roman"/>
          <w:sz w:val="24"/>
          <w:szCs w:val="24"/>
          <w:lang w:eastAsia="it-IT"/>
        </w:rPr>
        <w:t>mediazione e OCC</w:t>
      </w:r>
      <w:r w:rsidRPr="00CF0F27">
        <w:rPr>
          <w:rFonts w:ascii="Times New Roman" w:hAnsi="Times New Roman"/>
          <w:sz w:val="24"/>
          <w:szCs w:val="24"/>
          <w:lang w:eastAsia="it-IT"/>
        </w:rPr>
        <w:t xml:space="preserve">. </w:t>
      </w:r>
      <w:r w:rsidR="000113F9">
        <w:rPr>
          <w:rFonts w:ascii="Times New Roman" w:hAnsi="Times New Roman"/>
          <w:sz w:val="24"/>
          <w:szCs w:val="24"/>
          <w:lang w:eastAsia="it-IT"/>
        </w:rPr>
        <w:t>Per quanto riguarda l’attività di mediazione i depositi e l’attività di mediazione sono costanti, l’aumento delle entrate è legato alle nuove tariffe del DM Cartabia.</w:t>
      </w:r>
    </w:p>
    <w:p w14:paraId="3C2298D4" w14:textId="5AD5659A" w:rsidR="00ED67EE" w:rsidRPr="00CF0F27" w:rsidRDefault="00CF0F27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F0F27">
        <w:rPr>
          <w:rFonts w:ascii="Times New Roman" w:hAnsi="Times New Roman"/>
          <w:sz w:val="24"/>
          <w:szCs w:val="24"/>
          <w:lang w:eastAsia="it-IT"/>
        </w:rPr>
        <w:t>In merito alle tasse annuali, si rileva una leggera contrazione rispetto l’esercizio 202</w:t>
      </w:r>
      <w:r w:rsidR="000113F9">
        <w:rPr>
          <w:rFonts w:ascii="Times New Roman" w:hAnsi="Times New Roman"/>
          <w:sz w:val="24"/>
          <w:szCs w:val="24"/>
          <w:lang w:eastAsia="it-IT"/>
        </w:rPr>
        <w:t>3</w:t>
      </w:r>
      <w:r w:rsidRPr="00CF0F27">
        <w:rPr>
          <w:rFonts w:ascii="Times New Roman" w:hAnsi="Times New Roman"/>
          <w:sz w:val="24"/>
          <w:szCs w:val="24"/>
          <w:lang w:eastAsia="it-IT"/>
        </w:rPr>
        <w:t xml:space="preserve">. </w:t>
      </w:r>
      <w:r w:rsidR="00B736E0" w:rsidRPr="00CF0F27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5232CE38" w14:textId="77777777" w:rsidR="00660B5A" w:rsidRPr="009C22B5" w:rsidRDefault="00660B5A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14:paraId="681EF077" w14:textId="21AAEAEC" w:rsidR="00660B5A" w:rsidRPr="005D6BA2" w:rsidRDefault="00660B5A" w:rsidP="00660B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5D6BA2">
        <w:rPr>
          <w:rFonts w:ascii="Times New Roman" w:hAnsi="Times New Roman"/>
          <w:b/>
          <w:sz w:val="24"/>
          <w:szCs w:val="24"/>
          <w:u w:val="single"/>
          <w:lang w:eastAsia="it-IT"/>
        </w:rPr>
        <w:t>Uscite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127"/>
      </w:tblGrid>
      <w:tr w:rsidR="00660B5A" w:rsidRPr="005D6BA2" w14:paraId="7AFCD512" w14:textId="77777777" w:rsidTr="00F97C6E">
        <w:tc>
          <w:tcPr>
            <w:tcW w:w="2547" w:type="dxa"/>
          </w:tcPr>
          <w:p w14:paraId="05FC04C3" w14:textId="16CC41DB" w:rsidR="00660B5A" w:rsidRPr="005D6BA2" w:rsidRDefault="005D6BA2" w:rsidP="00F97C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5D6BA2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Consuntivo 202</w:t>
            </w:r>
            <w:r w:rsidR="000113F9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2410" w:type="dxa"/>
          </w:tcPr>
          <w:p w14:paraId="304F6629" w14:textId="703B27B6" w:rsidR="00660B5A" w:rsidRPr="005D6BA2" w:rsidRDefault="005D6BA2" w:rsidP="00F97C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5D6BA2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Consuntivo 202</w:t>
            </w:r>
            <w:r w:rsidR="000113F9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2409" w:type="dxa"/>
          </w:tcPr>
          <w:p w14:paraId="710F0B02" w14:textId="77777777" w:rsidR="00660B5A" w:rsidRPr="005D6BA2" w:rsidRDefault="00660B5A" w:rsidP="00F97C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5D6BA2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Differenza</w:t>
            </w:r>
          </w:p>
        </w:tc>
        <w:tc>
          <w:tcPr>
            <w:tcW w:w="2127" w:type="dxa"/>
          </w:tcPr>
          <w:p w14:paraId="69263CF1" w14:textId="77777777" w:rsidR="00660B5A" w:rsidRPr="005D6BA2" w:rsidRDefault="00660B5A" w:rsidP="00F97C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5D6BA2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Differenza %</w:t>
            </w:r>
          </w:p>
        </w:tc>
      </w:tr>
      <w:tr w:rsidR="00726235" w:rsidRPr="005D6BA2" w14:paraId="4FB096FC" w14:textId="77777777" w:rsidTr="006F08CE">
        <w:tc>
          <w:tcPr>
            <w:tcW w:w="2547" w:type="dxa"/>
          </w:tcPr>
          <w:p w14:paraId="5087067A" w14:textId="54674AAD" w:rsidR="00726235" w:rsidRPr="005D6BA2" w:rsidRDefault="00726235" w:rsidP="0072623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1.240.013</w:t>
            </w:r>
          </w:p>
        </w:tc>
        <w:tc>
          <w:tcPr>
            <w:tcW w:w="2410" w:type="dxa"/>
          </w:tcPr>
          <w:p w14:paraId="671068BC" w14:textId="4179B84F" w:rsidR="00726235" w:rsidRPr="005D6BA2" w:rsidRDefault="00726235" w:rsidP="00726235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997.193</w:t>
            </w:r>
          </w:p>
        </w:tc>
        <w:tc>
          <w:tcPr>
            <w:tcW w:w="2409" w:type="dxa"/>
            <w:vAlign w:val="center"/>
          </w:tcPr>
          <w:p w14:paraId="7B8EDC25" w14:textId="5319B0FC" w:rsidR="00726235" w:rsidRPr="00726235" w:rsidRDefault="00726235" w:rsidP="0072623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26235">
              <w:rPr>
                <w:rFonts w:ascii="Times New Roman" w:hAnsi="Times New Roman"/>
                <w:color w:val="000000"/>
                <w:sz w:val="24"/>
                <w:szCs w:val="24"/>
              </w:rPr>
              <w:t>242.820</w:t>
            </w:r>
          </w:p>
        </w:tc>
        <w:tc>
          <w:tcPr>
            <w:tcW w:w="2127" w:type="dxa"/>
            <w:vAlign w:val="center"/>
          </w:tcPr>
          <w:p w14:paraId="32A06E34" w14:textId="0799ED1D" w:rsidR="00726235" w:rsidRPr="00726235" w:rsidRDefault="00726235" w:rsidP="0072623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26235">
              <w:rPr>
                <w:rFonts w:ascii="Times New Roman" w:hAnsi="Times New Roman"/>
                <w:color w:val="000000"/>
                <w:sz w:val="24"/>
                <w:szCs w:val="24"/>
              </w:rPr>
              <w:t>24,35%</w:t>
            </w:r>
          </w:p>
        </w:tc>
      </w:tr>
    </w:tbl>
    <w:p w14:paraId="164DCFE4" w14:textId="77777777" w:rsidR="00ED67EE" w:rsidRPr="009C22B5" w:rsidRDefault="00ED67EE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14:paraId="74753301" w14:textId="77777777" w:rsidR="00ED67EE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AA6E93">
        <w:rPr>
          <w:rFonts w:ascii="Times New Roman" w:hAnsi="Times New Roman"/>
          <w:sz w:val="24"/>
          <w:szCs w:val="24"/>
          <w:lang w:eastAsia="it-IT"/>
        </w:rPr>
        <w:t>Si espone il relativo dettaglio: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558"/>
        <w:gridCol w:w="1558"/>
        <w:gridCol w:w="1296"/>
        <w:gridCol w:w="1557"/>
      </w:tblGrid>
      <w:tr w:rsidR="00AF6CF9" w:rsidRPr="00F37A9F" w14:paraId="5C5D542E" w14:textId="77777777" w:rsidTr="00F37A9F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DD95" w14:textId="3E3F7758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Tipologia uscita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7937" w14:textId="51900E6F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Consuntivo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15E2" w14:textId="2EAD23E2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Consuntivo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764F" w14:textId="7F65CD5E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Differenza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B49A" w14:textId="1A14F1AF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Differenza %</w:t>
            </w:r>
          </w:p>
        </w:tc>
      </w:tr>
      <w:tr w:rsidR="00AF6CF9" w:rsidRPr="00F37A9F" w14:paraId="0F6859D2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598F" w14:textId="033CE2AB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Stipendi e contributi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6530" w14:textId="442616F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301.454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E304" w14:textId="6A6781E9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220.452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6DE9A" w14:textId="4B4E92F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81.002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A519" w14:textId="709A5F7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36,74%</w:t>
            </w:r>
          </w:p>
        </w:tc>
      </w:tr>
      <w:tr w:rsidR="00AF6CF9" w:rsidRPr="00F37A9F" w14:paraId="2AAA5D22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876F" w14:textId="45AC0C88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Compensi a professionisti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855E" w14:textId="0F86387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2B09" w14:textId="0957FD6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C179" w14:textId="2D838232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-16.012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12A8F" w14:textId="46D60C62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-51,59%</w:t>
            </w:r>
          </w:p>
        </w:tc>
      </w:tr>
      <w:tr w:rsidR="00AF6CF9" w:rsidRPr="00F37A9F" w14:paraId="60B2C7C3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A922" w14:textId="20F8CD6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Assicurazioni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6607" w14:textId="2702F36B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ADE" w14:textId="55C26CA3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915B2" w14:textId="77BF5121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1.537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23FB4" w14:textId="4B388730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8,80%</w:t>
            </w:r>
          </w:p>
        </w:tc>
      </w:tr>
      <w:tr w:rsidR="00AF6CF9" w:rsidRPr="00F37A9F" w14:paraId="4B5BAB22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68EB" w14:textId="70C64B24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Spese ufficio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DA7D" w14:textId="0E0E5B5C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65.514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9C17" w14:textId="6B2EEDC5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DFE69" w14:textId="64DBEEF9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12.200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5FD1A" w14:textId="125B707B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22,88%</w:t>
            </w:r>
          </w:p>
        </w:tc>
      </w:tr>
      <w:tr w:rsidR="00AF6CF9" w:rsidRPr="00F37A9F" w14:paraId="5F834D3E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548" w14:textId="13AF151E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Spese per l’avvocatura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4B0A" w14:textId="5F23A28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81.970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74BC" w14:textId="4348718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73.655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E0952" w14:textId="7B22C7AB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8.315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84B09" w14:textId="0A034AEB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11,29%</w:t>
            </w:r>
          </w:p>
        </w:tc>
      </w:tr>
      <w:tr w:rsidR="00AF6CF9" w:rsidRPr="00F37A9F" w14:paraId="590D80DB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2D79" w14:textId="180166F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Consiglio Nazionale Forense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4EA7" w14:textId="55E99420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82.271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3262" w14:textId="65EA7B25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65.970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FD203" w14:textId="15823F3E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16.301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89308" w14:textId="421193D8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24,71%</w:t>
            </w:r>
          </w:p>
        </w:tc>
      </w:tr>
      <w:tr w:rsidR="00AF6CF9" w:rsidRPr="00F37A9F" w14:paraId="4598E0EE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416C" w14:textId="38CD187E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Consiglio Distrettuale di Disciplina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D3B5" w14:textId="132DCDC0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32.340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89D1" w14:textId="74BE9D7B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4E036" w14:textId="228C3EBD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6.340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1D74" w14:textId="7BA60D8C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24,38%</w:t>
            </w:r>
          </w:p>
        </w:tc>
      </w:tr>
      <w:tr w:rsidR="00AF6CF9" w:rsidRPr="00F37A9F" w14:paraId="476D2E5F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D29F" w14:textId="61635E6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Modena Giustizia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CE2A" w14:textId="1FAEC558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0822" w14:textId="31AF7F3F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7E941" w14:textId="1355C691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C217B" w14:textId="516313D4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0,00%</w:t>
            </w:r>
          </w:p>
        </w:tc>
      </w:tr>
      <w:tr w:rsidR="00AF6CF9" w:rsidRPr="00F37A9F" w14:paraId="32D42CA5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BF50" w14:textId="5123E5B0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Fondazione Forense Modenese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40DE" w14:textId="5DF1A581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7890" w14:textId="015D6C63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F0626" w14:textId="27318CC1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-12.000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BD7D8" w14:textId="79637061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-100,00%</w:t>
            </w:r>
          </w:p>
        </w:tc>
      </w:tr>
      <w:tr w:rsidR="00AF6CF9" w:rsidRPr="00F37A9F" w14:paraId="4C79EB21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921B" w14:textId="542EAAAD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Contributi Fondazione Forense per dip.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D951" w14:textId="1B64DE02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EB83" w14:textId="7C94C024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54.416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F00CB" w14:textId="0CE4DD34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-50.379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E3D7F" w14:textId="746C063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-92,58%</w:t>
            </w:r>
          </w:p>
        </w:tc>
      </w:tr>
      <w:tr w:rsidR="00AF6CF9" w:rsidRPr="00F37A9F" w14:paraId="516182DA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4174" w14:textId="3CD39219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TIAP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F1A1" w14:textId="474DA4D3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9C4E" w14:textId="3CC25F39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39.898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C4F0C" w14:textId="3508B153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-9.877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18329" w14:textId="50C12B11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-24,76%</w:t>
            </w:r>
          </w:p>
        </w:tc>
      </w:tr>
      <w:tr w:rsidR="00AF6CF9" w:rsidRPr="00F37A9F" w14:paraId="5A4240AE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BF90" w14:textId="5380AD1F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Ufficio informazioni Tribunale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AD0A" w14:textId="2F0ECC33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64.236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152D" w14:textId="0F63DADC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51.545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A3033" w14:textId="348D2DD1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12.691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7C7A2" w14:textId="1505CEC8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24,62%</w:t>
            </w:r>
          </w:p>
        </w:tc>
      </w:tr>
      <w:tr w:rsidR="00AF6CF9" w:rsidRPr="00F37A9F" w14:paraId="7A3D83DE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4135" w14:textId="4A8E71BB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Compensi mediatori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5A9B" w14:textId="0E8920C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375.722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C9AC" w14:textId="4BFBB26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F8B67" w14:textId="6A87BE58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197.271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39F93" w14:textId="720764E2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110,55%</w:t>
            </w:r>
          </w:p>
        </w:tc>
      </w:tr>
      <w:tr w:rsidR="00AF6CF9" w:rsidRPr="00F37A9F" w14:paraId="33FF4D3A" w14:textId="77777777" w:rsidTr="003B34D1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E812" w14:textId="047BDCB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Compensi Gestori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ADDD" w14:textId="0583C4C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52.903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E163" w14:textId="226C61C4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84E3C" w14:textId="237724E0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16.713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E2145" w14:textId="0455C7CF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46,18%</w:t>
            </w:r>
          </w:p>
        </w:tc>
      </w:tr>
      <w:tr w:rsidR="00AF6CF9" w:rsidRPr="00F37A9F" w14:paraId="0EDB0760" w14:textId="77777777" w:rsidTr="00886205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78F8" w14:textId="2C68EC5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Altre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7A632" w14:textId="3028B460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85.505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FBFC7" w14:textId="2877F68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106.788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D198D" w14:textId="3836D323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-21.283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9EB0C" w14:textId="2B568DE7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-19,93%</w:t>
            </w:r>
          </w:p>
        </w:tc>
      </w:tr>
      <w:tr w:rsidR="00AF6CF9" w:rsidRPr="00F37A9F" w14:paraId="5C48BEB4" w14:textId="77777777" w:rsidTr="002E5E38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A374" w14:textId="277EAFE2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47C0" w14:textId="01CA961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1.240.013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437A" w14:textId="304EB086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997.193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3780A" w14:textId="2BA84E15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color w:val="000000"/>
                <w:sz w:val="24"/>
                <w:szCs w:val="24"/>
              </w:rPr>
              <w:t>242.820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0CD82" w14:textId="066D5D58" w:rsidR="00AF6CF9" w:rsidRPr="00B073CC" w:rsidRDefault="00AF6CF9" w:rsidP="00AF6CF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24,35%</w:t>
            </w:r>
          </w:p>
        </w:tc>
      </w:tr>
    </w:tbl>
    <w:p w14:paraId="17CE94A0" w14:textId="2A15F295" w:rsidR="00ED67EE" w:rsidRPr="001D4F3B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1D4F3B">
        <w:rPr>
          <w:rFonts w:ascii="Times New Roman" w:hAnsi="Times New Roman"/>
          <w:sz w:val="24"/>
          <w:szCs w:val="24"/>
          <w:lang w:eastAsia="it-IT"/>
        </w:rPr>
        <w:t xml:space="preserve">Per quanto riguarda le spese correnti, le maggior spese effettuate sono state per migliorare i servizi per gli avvocati e tutti gli </w:t>
      </w:r>
      <w:r w:rsidRPr="001D4F3B">
        <w:rPr>
          <w:rFonts w:ascii="Times New Roman" w:hAnsi="Times New Roman"/>
          <w:i/>
          <w:sz w:val="24"/>
          <w:szCs w:val="24"/>
          <w:lang w:eastAsia="it-IT"/>
        </w:rPr>
        <w:t xml:space="preserve">stakeholders </w:t>
      </w:r>
      <w:r w:rsidR="00515C40" w:rsidRPr="001D4F3B">
        <w:rPr>
          <w:rFonts w:ascii="Times New Roman" w:hAnsi="Times New Roman"/>
          <w:sz w:val="24"/>
          <w:szCs w:val="24"/>
          <w:lang w:eastAsia="it-IT"/>
        </w:rPr>
        <w:t>del T</w:t>
      </w:r>
      <w:r w:rsidRPr="001D4F3B">
        <w:rPr>
          <w:rFonts w:ascii="Times New Roman" w:hAnsi="Times New Roman"/>
          <w:sz w:val="24"/>
          <w:szCs w:val="24"/>
          <w:lang w:eastAsia="it-IT"/>
        </w:rPr>
        <w:t>ribunale.</w:t>
      </w:r>
    </w:p>
    <w:p w14:paraId="36344409" w14:textId="73BC9E3C" w:rsidR="00515C40" w:rsidRDefault="0024526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526D">
        <w:rPr>
          <w:rFonts w:ascii="Times New Roman" w:hAnsi="Times New Roman"/>
          <w:sz w:val="24"/>
          <w:szCs w:val="24"/>
          <w:lang w:eastAsia="it-IT"/>
        </w:rPr>
        <w:t xml:space="preserve">A fronte dell’incremento delle entrate </w:t>
      </w:r>
      <w:r w:rsidR="00515C40" w:rsidRPr="0024526D">
        <w:rPr>
          <w:rFonts w:ascii="Times New Roman" w:hAnsi="Times New Roman"/>
          <w:sz w:val="24"/>
          <w:szCs w:val="24"/>
          <w:lang w:eastAsia="it-IT"/>
        </w:rPr>
        <w:t>derivanti dall’attività di mediaz</w:t>
      </w:r>
      <w:r w:rsidRPr="0024526D">
        <w:rPr>
          <w:rFonts w:ascii="Times New Roman" w:hAnsi="Times New Roman"/>
          <w:sz w:val="24"/>
          <w:szCs w:val="24"/>
          <w:lang w:eastAsia="it-IT"/>
        </w:rPr>
        <w:t>ione</w:t>
      </w:r>
      <w:r w:rsidR="00F37A9F">
        <w:rPr>
          <w:rFonts w:ascii="Times New Roman" w:hAnsi="Times New Roman"/>
          <w:sz w:val="24"/>
          <w:szCs w:val="24"/>
          <w:lang w:eastAsia="it-IT"/>
        </w:rPr>
        <w:t xml:space="preserve"> e dell’organismo della composizione della crisi</w:t>
      </w:r>
      <w:r w:rsidRPr="0024526D">
        <w:rPr>
          <w:rFonts w:ascii="Times New Roman" w:hAnsi="Times New Roman"/>
          <w:sz w:val="24"/>
          <w:szCs w:val="24"/>
          <w:lang w:eastAsia="it-IT"/>
        </w:rPr>
        <w:t xml:space="preserve">, si rileva l’incremento dei costi relativi ai compensi corrisposti ai </w:t>
      </w:r>
      <w:r w:rsidR="005E63BE">
        <w:rPr>
          <w:rFonts w:ascii="Times New Roman" w:hAnsi="Times New Roman"/>
          <w:sz w:val="24"/>
          <w:szCs w:val="24"/>
          <w:lang w:eastAsia="it-IT"/>
        </w:rPr>
        <w:t>mediatori</w:t>
      </w:r>
      <w:r w:rsidR="001D4F3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37A9F">
        <w:rPr>
          <w:rFonts w:ascii="Times New Roman" w:hAnsi="Times New Roman"/>
          <w:sz w:val="24"/>
          <w:szCs w:val="24"/>
          <w:lang w:eastAsia="it-IT"/>
        </w:rPr>
        <w:t xml:space="preserve">e gestori </w:t>
      </w:r>
      <w:r w:rsidR="001D4F3B">
        <w:rPr>
          <w:rFonts w:ascii="Times New Roman" w:hAnsi="Times New Roman"/>
          <w:sz w:val="24"/>
          <w:szCs w:val="24"/>
          <w:lang w:eastAsia="it-IT"/>
        </w:rPr>
        <w:t>per la medesima attività.</w:t>
      </w:r>
    </w:p>
    <w:p w14:paraId="7B29F929" w14:textId="59E10E38" w:rsidR="00726235" w:rsidRPr="00B81899" w:rsidRDefault="00B81899" w:rsidP="00B81899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</w:t>
      </w:r>
      <w:r w:rsidR="00726235" w:rsidRPr="00B81899">
        <w:rPr>
          <w:rFonts w:ascii="Times New Roman" w:hAnsi="Times New Roman"/>
          <w:sz w:val="24"/>
          <w:szCs w:val="24"/>
        </w:rPr>
        <w:t xml:space="preserve">umento della spesa dei dipendenti </w:t>
      </w:r>
      <w:r>
        <w:rPr>
          <w:rFonts w:ascii="Times New Roman" w:hAnsi="Times New Roman"/>
          <w:sz w:val="24"/>
          <w:szCs w:val="24"/>
        </w:rPr>
        <w:t xml:space="preserve">è </w:t>
      </w:r>
      <w:r w:rsidRPr="00B81899">
        <w:rPr>
          <w:rFonts w:ascii="Times New Roman" w:hAnsi="Times New Roman"/>
          <w:sz w:val="24"/>
          <w:szCs w:val="24"/>
        </w:rPr>
        <w:t>dovuto principalmente</w:t>
      </w:r>
      <w:r w:rsidR="00726235" w:rsidRPr="00B81899">
        <w:rPr>
          <w:rFonts w:ascii="Times New Roman" w:hAnsi="Times New Roman"/>
          <w:sz w:val="24"/>
          <w:szCs w:val="24"/>
        </w:rPr>
        <w:t xml:space="preserve"> dal fatto che si è passati da 3,5 a 5 figure effettive a carico dell’Ordine. L’aumento è </w:t>
      </w:r>
      <w:r>
        <w:rPr>
          <w:rFonts w:ascii="Times New Roman" w:hAnsi="Times New Roman"/>
          <w:sz w:val="24"/>
          <w:szCs w:val="24"/>
        </w:rPr>
        <w:t>quasi interamente</w:t>
      </w:r>
      <w:r w:rsidR="00726235" w:rsidRPr="00B81899">
        <w:rPr>
          <w:rFonts w:ascii="Times New Roman" w:hAnsi="Times New Roman"/>
          <w:sz w:val="24"/>
          <w:szCs w:val="24"/>
        </w:rPr>
        <w:t xml:space="preserve"> compensato dalla minore spesa per i compensi a professionisti</w:t>
      </w:r>
      <w:r>
        <w:rPr>
          <w:rFonts w:ascii="Times New Roman" w:hAnsi="Times New Roman"/>
          <w:sz w:val="24"/>
          <w:szCs w:val="24"/>
        </w:rPr>
        <w:t xml:space="preserve">, </w:t>
      </w:r>
      <w:r w:rsidR="00726235" w:rsidRPr="00B8189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 w:rsidR="00726235" w:rsidRPr="00B81899"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 xml:space="preserve">minor </w:t>
      </w:r>
      <w:r w:rsidR="00726235" w:rsidRPr="00B81899">
        <w:rPr>
          <w:rFonts w:ascii="Times New Roman" w:hAnsi="Times New Roman"/>
          <w:sz w:val="24"/>
          <w:szCs w:val="24"/>
        </w:rPr>
        <w:t>contributo erogato alla Fondazione</w:t>
      </w:r>
      <w:r>
        <w:rPr>
          <w:rFonts w:ascii="Times New Roman" w:hAnsi="Times New Roman"/>
          <w:sz w:val="24"/>
          <w:szCs w:val="24"/>
        </w:rPr>
        <w:t xml:space="preserve"> e dall’</w:t>
      </w:r>
      <w:r w:rsidR="00726235" w:rsidRPr="00B81899">
        <w:rPr>
          <w:rFonts w:ascii="Times New Roman" w:hAnsi="Times New Roman"/>
          <w:sz w:val="24"/>
          <w:szCs w:val="24"/>
        </w:rPr>
        <w:t>azzera</w:t>
      </w:r>
      <w:r>
        <w:rPr>
          <w:rFonts w:ascii="Times New Roman" w:hAnsi="Times New Roman"/>
          <w:sz w:val="24"/>
          <w:szCs w:val="24"/>
        </w:rPr>
        <w:t>mento</w:t>
      </w:r>
      <w:r w:rsidR="00726235" w:rsidRPr="00B818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 w:rsidR="00726235" w:rsidRPr="00B81899">
        <w:rPr>
          <w:rFonts w:ascii="Times New Roman" w:hAnsi="Times New Roman"/>
          <w:sz w:val="24"/>
          <w:szCs w:val="24"/>
        </w:rPr>
        <w:t xml:space="preserve">l’aggio che </w:t>
      </w:r>
      <w:r>
        <w:rPr>
          <w:rFonts w:ascii="Times New Roman" w:hAnsi="Times New Roman"/>
          <w:sz w:val="24"/>
          <w:szCs w:val="24"/>
        </w:rPr>
        <w:t>si pagava</w:t>
      </w:r>
      <w:r w:rsidR="00726235" w:rsidRPr="00B81899">
        <w:rPr>
          <w:rFonts w:ascii="Times New Roman" w:hAnsi="Times New Roman"/>
          <w:sz w:val="24"/>
          <w:szCs w:val="24"/>
        </w:rPr>
        <w:t xml:space="preserve"> alla società Synergie per i dipendenti in somministrazione.</w:t>
      </w:r>
    </w:p>
    <w:p w14:paraId="3372D3B2" w14:textId="77777777" w:rsidR="00515C40" w:rsidRPr="009C22B5" w:rsidRDefault="00515C40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14:paraId="4A5E6713" w14:textId="26E7A981" w:rsidR="00515C40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AC0666">
        <w:rPr>
          <w:rFonts w:ascii="Times New Roman" w:hAnsi="Times New Roman"/>
          <w:sz w:val="24"/>
          <w:szCs w:val="24"/>
          <w:lang w:eastAsia="it-IT"/>
        </w:rPr>
        <w:t xml:space="preserve">Il Rendiconto </w:t>
      </w:r>
      <w:r w:rsidR="00B25E6E" w:rsidRPr="00AC0666">
        <w:rPr>
          <w:rFonts w:ascii="Times New Roman" w:hAnsi="Times New Roman"/>
          <w:sz w:val="24"/>
          <w:szCs w:val="24"/>
          <w:lang w:eastAsia="it-IT"/>
        </w:rPr>
        <w:t>Finanz</w:t>
      </w:r>
      <w:r w:rsidR="00515C40" w:rsidRPr="00AC0666">
        <w:rPr>
          <w:rFonts w:ascii="Times New Roman" w:hAnsi="Times New Roman"/>
          <w:sz w:val="24"/>
          <w:szCs w:val="24"/>
          <w:lang w:eastAsia="it-IT"/>
        </w:rPr>
        <w:t>iario Gestionale</w:t>
      </w:r>
      <w:r w:rsidR="00B25E6E" w:rsidRPr="00AC0666">
        <w:rPr>
          <w:rFonts w:ascii="Times New Roman" w:hAnsi="Times New Roman"/>
          <w:sz w:val="24"/>
          <w:szCs w:val="24"/>
          <w:lang w:eastAsia="it-IT"/>
        </w:rPr>
        <w:t xml:space="preserve"> porta un a</w:t>
      </w:r>
      <w:r w:rsidRPr="00AC0666">
        <w:rPr>
          <w:rFonts w:ascii="Times New Roman" w:hAnsi="Times New Roman"/>
          <w:sz w:val="24"/>
          <w:szCs w:val="24"/>
          <w:lang w:eastAsia="it-IT"/>
        </w:rPr>
        <w:t>vanzo della gestione corrente per</w:t>
      </w:r>
      <w:r w:rsidR="00B25E6E" w:rsidRPr="00AC0666">
        <w:rPr>
          <w:rFonts w:ascii="Times New Roman" w:hAnsi="Times New Roman"/>
          <w:sz w:val="24"/>
          <w:szCs w:val="24"/>
          <w:lang w:eastAsia="it-IT"/>
        </w:rPr>
        <w:t xml:space="preserve"> il 202</w:t>
      </w:r>
      <w:r w:rsidR="00B81899">
        <w:rPr>
          <w:rFonts w:ascii="Times New Roman" w:hAnsi="Times New Roman"/>
          <w:sz w:val="24"/>
          <w:szCs w:val="24"/>
          <w:lang w:eastAsia="it-IT"/>
        </w:rPr>
        <w:t>4</w:t>
      </w:r>
      <w:r w:rsidRPr="00AC0666">
        <w:rPr>
          <w:rFonts w:ascii="Times New Roman" w:hAnsi="Times New Roman"/>
          <w:sz w:val="24"/>
          <w:szCs w:val="24"/>
          <w:lang w:eastAsia="it-IT"/>
        </w:rPr>
        <w:t xml:space="preserve"> di </w:t>
      </w:r>
      <w:r w:rsidR="00B25E6E" w:rsidRPr="008438CD">
        <w:rPr>
          <w:rFonts w:ascii="Times New Roman" w:hAnsi="Times New Roman"/>
          <w:sz w:val="24"/>
          <w:szCs w:val="24"/>
          <w:lang w:eastAsia="it-IT"/>
        </w:rPr>
        <w:t xml:space="preserve">euro </w:t>
      </w:r>
      <w:r w:rsidR="009C7FC3">
        <w:rPr>
          <w:rFonts w:ascii="Times New Roman" w:hAnsi="Times New Roman"/>
          <w:sz w:val="24"/>
          <w:szCs w:val="24"/>
          <w:lang w:eastAsia="it-IT"/>
        </w:rPr>
        <w:t>1</w:t>
      </w:r>
      <w:r w:rsidR="00B81899">
        <w:rPr>
          <w:rFonts w:ascii="Times New Roman" w:hAnsi="Times New Roman"/>
          <w:sz w:val="24"/>
          <w:szCs w:val="24"/>
          <w:lang w:eastAsia="it-IT"/>
        </w:rPr>
        <w:t>80</w:t>
      </w:r>
      <w:r w:rsidR="009C7FC3">
        <w:rPr>
          <w:rFonts w:ascii="Times New Roman" w:hAnsi="Times New Roman"/>
          <w:sz w:val="24"/>
          <w:szCs w:val="24"/>
          <w:lang w:eastAsia="it-IT"/>
        </w:rPr>
        <w:t>.</w:t>
      </w:r>
      <w:r w:rsidR="00B81899">
        <w:rPr>
          <w:rFonts w:ascii="Times New Roman" w:hAnsi="Times New Roman"/>
          <w:sz w:val="24"/>
          <w:szCs w:val="24"/>
          <w:lang w:eastAsia="it-IT"/>
        </w:rPr>
        <w:t>206</w:t>
      </w:r>
      <w:r w:rsidR="009C7FC3">
        <w:rPr>
          <w:rFonts w:ascii="Times New Roman" w:hAnsi="Times New Roman"/>
          <w:sz w:val="24"/>
          <w:szCs w:val="24"/>
          <w:lang w:eastAsia="it-IT"/>
        </w:rPr>
        <w:t>,</w:t>
      </w:r>
      <w:r w:rsidR="00B81899">
        <w:rPr>
          <w:rFonts w:ascii="Times New Roman" w:hAnsi="Times New Roman"/>
          <w:sz w:val="24"/>
          <w:szCs w:val="24"/>
          <w:lang w:eastAsia="it-IT"/>
        </w:rPr>
        <w:t>75</w:t>
      </w:r>
      <w:r w:rsidR="009C7FC3">
        <w:rPr>
          <w:rFonts w:ascii="Times New Roman" w:hAnsi="Times New Roman"/>
          <w:sz w:val="24"/>
          <w:szCs w:val="24"/>
          <w:lang w:eastAsia="it-IT"/>
        </w:rPr>
        <w:t>.</w:t>
      </w:r>
    </w:p>
    <w:p w14:paraId="3B9A120D" w14:textId="77777777" w:rsidR="00FD5379" w:rsidRPr="008438CD" w:rsidRDefault="00FD5379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70E339A" w14:textId="31B8068A" w:rsidR="00B25E6E" w:rsidRPr="008438CD" w:rsidRDefault="00B25E6E" w:rsidP="00B25E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8438CD">
        <w:rPr>
          <w:rFonts w:ascii="Times New Roman" w:hAnsi="Times New Roman"/>
          <w:b/>
          <w:sz w:val="24"/>
          <w:szCs w:val="24"/>
          <w:u w:val="single"/>
          <w:lang w:eastAsia="it-IT"/>
        </w:rPr>
        <w:t>Risultato della gestione corrente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E0143A" w:rsidRPr="008438CD" w14:paraId="7D4F6537" w14:textId="77777777" w:rsidTr="00E0143A">
        <w:tc>
          <w:tcPr>
            <w:tcW w:w="3539" w:type="dxa"/>
          </w:tcPr>
          <w:p w14:paraId="66DE7203" w14:textId="1DC2277F" w:rsidR="00E0143A" w:rsidRPr="008438CD" w:rsidRDefault="00AC0666" w:rsidP="00F97C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8438CD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Consuntivo 202</w:t>
            </w:r>
            <w:r w:rsidR="00B81899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2977" w:type="dxa"/>
          </w:tcPr>
          <w:p w14:paraId="7EC8B979" w14:textId="7C747AFE" w:rsidR="00E0143A" w:rsidRPr="008438CD" w:rsidRDefault="00AC0666" w:rsidP="00F97C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8438CD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Consuntivo 202</w:t>
            </w:r>
            <w:r w:rsidR="00B81899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3118" w:type="dxa"/>
          </w:tcPr>
          <w:p w14:paraId="758055BC" w14:textId="77777777" w:rsidR="00E0143A" w:rsidRPr="008438CD" w:rsidRDefault="00E0143A" w:rsidP="00F97C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it-IT"/>
              </w:rPr>
            </w:pPr>
            <w:r w:rsidRPr="008438CD">
              <w:rPr>
                <w:rFonts w:ascii="Times New Roman" w:hAnsi="Times New Roman"/>
                <w:b/>
                <w:sz w:val="24"/>
                <w:szCs w:val="20"/>
                <w:lang w:eastAsia="it-IT"/>
              </w:rPr>
              <w:t>Differenza</w:t>
            </w:r>
          </w:p>
        </w:tc>
      </w:tr>
      <w:tr w:rsidR="00E0143A" w:rsidRPr="009C22B5" w14:paraId="7AB7C848" w14:textId="77777777" w:rsidTr="00E0143A">
        <w:tc>
          <w:tcPr>
            <w:tcW w:w="3539" w:type="dxa"/>
          </w:tcPr>
          <w:p w14:paraId="69EAE36B" w14:textId="1AAFF79C" w:rsidR="00E0143A" w:rsidRPr="008438CD" w:rsidRDefault="00B81899" w:rsidP="00F97C6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180.206,75</w:t>
            </w:r>
          </w:p>
        </w:tc>
        <w:tc>
          <w:tcPr>
            <w:tcW w:w="2977" w:type="dxa"/>
          </w:tcPr>
          <w:p w14:paraId="73236433" w14:textId="079B2961" w:rsidR="00E0143A" w:rsidRPr="008438CD" w:rsidRDefault="00B81899" w:rsidP="00F97C6E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15.807,10</w:t>
            </w:r>
          </w:p>
        </w:tc>
        <w:tc>
          <w:tcPr>
            <w:tcW w:w="3118" w:type="dxa"/>
          </w:tcPr>
          <w:p w14:paraId="2FC7DAAF" w14:textId="20800C16" w:rsidR="00E0143A" w:rsidRPr="008438CD" w:rsidRDefault="009C7FC3" w:rsidP="00F97C6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1</w:t>
            </w:r>
            <w:r w:rsidR="00B81899">
              <w:rPr>
                <w:rFonts w:ascii="Times New Roman" w:hAnsi="Times New Roman"/>
                <w:sz w:val="24"/>
                <w:szCs w:val="20"/>
                <w:lang w:eastAsia="it-IT"/>
              </w:rPr>
              <w:t>64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.</w:t>
            </w:r>
            <w:r w:rsidR="00B81899">
              <w:rPr>
                <w:rFonts w:ascii="Times New Roman" w:hAnsi="Times New Roman"/>
                <w:sz w:val="24"/>
                <w:szCs w:val="20"/>
                <w:lang w:eastAsia="it-IT"/>
              </w:rPr>
              <w:t>399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,</w:t>
            </w:r>
            <w:r w:rsidR="00B81899">
              <w:rPr>
                <w:rFonts w:ascii="Times New Roman" w:hAnsi="Times New Roman"/>
                <w:sz w:val="24"/>
                <w:szCs w:val="20"/>
                <w:lang w:eastAsia="it-IT"/>
              </w:rPr>
              <w:t>65</w:t>
            </w:r>
          </w:p>
        </w:tc>
      </w:tr>
    </w:tbl>
    <w:p w14:paraId="55F2AF15" w14:textId="77777777" w:rsidR="00303AA1" w:rsidRDefault="00303AA1" w:rsidP="00303AA1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14:paraId="49A55598" w14:textId="371C5B98" w:rsidR="00CE2411" w:rsidRPr="00303AA1" w:rsidRDefault="00303AA1" w:rsidP="00303AA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303AA1">
        <w:rPr>
          <w:rFonts w:ascii="Times New Roman" w:hAnsi="Times New Roman"/>
          <w:sz w:val="24"/>
          <w:szCs w:val="24"/>
          <w:lang w:eastAsia="it-IT"/>
        </w:rPr>
        <w:t># # #</w:t>
      </w:r>
    </w:p>
    <w:p w14:paraId="01FC9D48" w14:textId="17659F33" w:rsidR="00EB22CB" w:rsidRDefault="00515C40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22CB">
        <w:rPr>
          <w:rFonts w:ascii="Times New Roman" w:hAnsi="Times New Roman"/>
          <w:sz w:val="24"/>
          <w:szCs w:val="24"/>
          <w:lang w:eastAsia="it-IT"/>
        </w:rPr>
        <w:t>In merito alla gestione non corrente, si evidenzia che nell’esercizio 202</w:t>
      </w:r>
      <w:r w:rsidR="00B81899">
        <w:rPr>
          <w:rFonts w:ascii="Times New Roman" w:hAnsi="Times New Roman"/>
          <w:sz w:val="24"/>
          <w:szCs w:val="24"/>
          <w:lang w:eastAsia="it-IT"/>
        </w:rPr>
        <w:t>4</w:t>
      </w:r>
      <w:r w:rsidRPr="00EB22C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EB22CB" w:rsidRPr="00EB22CB">
        <w:rPr>
          <w:rFonts w:ascii="Times New Roman" w:hAnsi="Times New Roman"/>
          <w:sz w:val="24"/>
          <w:szCs w:val="24"/>
          <w:lang w:eastAsia="it-IT"/>
        </w:rPr>
        <w:t xml:space="preserve">sono stati sostenuti investimenti in immobilizzazioni (immateriali e materiali) </w:t>
      </w:r>
      <w:r w:rsidR="00433FE8">
        <w:rPr>
          <w:rFonts w:ascii="Times New Roman" w:hAnsi="Times New Roman"/>
          <w:sz w:val="24"/>
          <w:szCs w:val="24"/>
          <w:lang w:eastAsia="it-IT"/>
        </w:rPr>
        <w:t xml:space="preserve">o spese non ricorrenti </w:t>
      </w:r>
      <w:r w:rsidR="00EB22CB" w:rsidRPr="00EB22CB">
        <w:rPr>
          <w:rFonts w:ascii="Times New Roman" w:hAnsi="Times New Roman"/>
          <w:sz w:val="24"/>
          <w:szCs w:val="24"/>
          <w:lang w:eastAsia="it-IT"/>
        </w:rPr>
        <w:t xml:space="preserve">per complessivi euro </w:t>
      </w:r>
      <w:r w:rsidR="00B81899">
        <w:rPr>
          <w:rFonts w:ascii="Times New Roman" w:hAnsi="Times New Roman"/>
          <w:sz w:val="24"/>
          <w:szCs w:val="24"/>
          <w:lang w:eastAsia="it-IT"/>
        </w:rPr>
        <w:t>40.292,14</w:t>
      </w:r>
      <w:r w:rsidR="00EB22CB" w:rsidRPr="00EB22CB">
        <w:rPr>
          <w:rFonts w:ascii="Times New Roman" w:hAnsi="Times New Roman"/>
          <w:sz w:val="24"/>
          <w:szCs w:val="24"/>
          <w:lang w:eastAsia="it-IT"/>
        </w:rPr>
        <w:t>.</w:t>
      </w:r>
      <w:r w:rsidR="00591410">
        <w:rPr>
          <w:rFonts w:ascii="Times New Roman" w:hAnsi="Times New Roman"/>
          <w:sz w:val="24"/>
          <w:szCs w:val="24"/>
          <w:lang w:eastAsia="it-IT"/>
        </w:rPr>
        <w:t xml:space="preserve"> Le spese sono state sostenute grazie alla partecipazione e aggiudicazione di un bando </w:t>
      </w:r>
      <w:r w:rsidR="00B81899">
        <w:rPr>
          <w:rFonts w:ascii="Times New Roman" w:hAnsi="Times New Roman"/>
          <w:sz w:val="24"/>
          <w:szCs w:val="24"/>
          <w:lang w:eastAsia="it-IT"/>
        </w:rPr>
        <w:t>PNRR per la digitalizzazione</w:t>
      </w:r>
      <w:r w:rsidR="00D15BD6">
        <w:rPr>
          <w:rFonts w:ascii="Times New Roman" w:hAnsi="Times New Roman"/>
          <w:sz w:val="24"/>
          <w:szCs w:val="24"/>
          <w:lang w:eastAsia="it-IT"/>
        </w:rPr>
        <w:t xml:space="preserve"> per euro </w:t>
      </w:r>
      <w:r w:rsidR="00B81899">
        <w:rPr>
          <w:rFonts w:ascii="Times New Roman" w:hAnsi="Times New Roman"/>
          <w:sz w:val="24"/>
          <w:szCs w:val="24"/>
          <w:lang w:eastAsia="it-IT"/>
        </w:rPr>
        <w:t>14</w:t>
      </w:r>
      <w:r w:rsidR="00D15BD6">
        <w:rPr>
          <w:rFonts w:ascii="Times New Roman" w:hAnsi="Times New Roman"/>
          <w:sz w:val="24"/>
          <w:szCs w:val="24"/>
          <w:lang w:eastAsia="it-IT"/>
        </w:rPr>
        <w:t>.000 e per la parte restante è stato utilizzato l’avanzo di amministrazione degli esercizi precedenti.</w:t>
      </w:r>
    </w:p>
    <w:p w14:paraId="10F98167" w14:textId="1A037BF8" w:rsidR="002A57A3" w:rsidRDefault="002A57A3" w:rsidP="002A57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 titoli detenuti in portafoglio hanno subito una rivalutazione di euro </w:t>
      </w:r>
      <w:r w:rsidR="00B81899">
        <w:rPr>
          <w:rFonts w:ascii="Times New Roman" w:hAnsi="Times New Roman"/>
          <w:sz w:val="24"/>
          <w:szCs w:val="24"/>
          <w:lang w:eastAsia="it-IT"/>
        </w:rPr>
        <w:t>27</w:t>
      </w:r>
      <w:r>
        <w:rPr>
          <w:rFonts w:ascii="Times New Roman" w:hAnsi="Times New Roman"/>
          <w:sz w:val="24"/>
          <w:szCs w:val="24"/>
          <w:lang w:eastAsia="it-IT"/>
        </w:rPr>
        <w:t>.</w:t>
      </w:r>
      <w:r w:rsidR="00B81899">
        <w:rPr>
          <w:rFonts w:ascii="Times New Roman" w:hAnsi="Times New Roman"/>
          <w:sz w:val="24"/>
          <w:szCs w:val="24"/>
          <w:lang w:eastAsia="it-IT"/>
        </w:rPr>
        <w:t>275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="00B81899">
        <w:rPr>
          <w:rFonts w:ascii="Times New Roman" w:hAnsi="Times New Roman"/>
          <w:sz w:val="24"/>
          <w:szCs w:val="24"/>
          <w:lang w:eastAsia="it-IT"/>
        </w:rPr>
        <w:t>99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D15BD6">
        <w:rPr>
          <w:rFonts w:ascii="Times New Roman" w:hAnsi="Times New Roman"/>
          <w:sz w:val="24"/>
          <w:szCs w:val="24"/>
          <w:lang w:eastAsia="it-IT"/>
        </w:rPr>
        <w:t>grazie a</w:t>
      </w:r>
      <w:r>
        <w:rPr>
          <w:rFonts w:ascii="Times New Roman" w:hAnsi="Times New Roman"/>
          <w:sz w:val="24"/>
          <w:szCs w:val="24"/>
          <w:lang w:eastAsia="it-IT"/>
        </w:rPr>
        <w:t>ll’andamento</w:t>
      </w:r>
      <w:r w:rsidR="00B81899">
        <w:rPr>
          <w:rFonts w:ascii="Times New Roman" w:hAnsi="Times New Roman"/>
          <w:sz w:val="24"/>
          <w:szCs w:val="24"/>
          <w:lang w:eastAsia="it-IT"/>
        </w:rPr>
        <w:t xml:space="preserve"> positivo</w:t>
      </w:r>
      <w:r>
        <w:rPr>
          <w:rFonts w:ascii="Times New Roman" w:hAnsi="Times New Roman"/>
          <w:sz w:val="24"/>
          <w:szCs w:val="24"/>
          <w:lang w:eastAsia="it-IT"/>
        </w:rPr>
        <w:t xml:space="preserve"> dei relativi mercati.</w:t>
      </w:r>
      <w:r w:rsidRPr="002A57A3">
        <w:rPr>
          <w:rFonts w:ascii="Times New Roman" w:hAnsi="Times New Roman"/>
          <w:sz w:val="24"/>
          <w:szCs w:val="24"/>
          <w:lang w:eastAsia="it-IT"/>
        </w:rPr>
        <w:t xml:space="preserve">  </w:t>
      </w:r>
    </w:p>
    <w:p w14:paraId="4EE5F46E" w14:textId="1B39982E" w:rsidR="002A57A3" w:rsidRDefault="002A57A3" w:rsidP="002A5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La gestione dei residui attivi e passivi ha visto un riaccertamento </w:t>
      </w:r>
      <w:r w:rsidR="00B81899">
        <w:rPr>
          <w:rFonts w:ascii="Times New Roman" w:hAnsi="Times New Roman"/>
          <w:sz w:val="24"/>
          <w:szCs w:val="24"/>
          <w:lang w:eastAsia="it-IT"/>
        </w:rPr>
        <w:t>positivo</w:t>
      </w:r>
      <w:r>
        <w:rPr>
          <w:rFonts w:ascii="Times New Roman" w:hAnsi="Times New Roman"/>
          <w:sz w:val="24"/>
          <w:szCs w:val="24"/>
          <w:lang w:eastAsia="it-IT"/>
        </w:rPr>
        <w:t xml:space="preserve"> di euro </w:t>
      </w:r>
      <w:r w:rsidR="00B81899">
        <w:rPr>
          <w:rFonts w:ascii="Times New Roman" w:hAnsi="Times New Roman"/>
          <w:sz w:val="24"/>
          <w:szCs w:val="24"/>
          <w:lang w:eastAsia="it-IT"/>
        </w:rPr>
        <w:t>6.577,99</w:t>
      </w:r>
    </w:p>
    <w:p w14:paraId="66DEF9A6" w14:textId="77777777" w:rsidR="002A57A3" w:rsidRDefault="002A57A3" w:rsidP="002A57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131C3F68" w14:textId="77777777" w:rsidR="002A57A3" w:rsidRDefault="002A57A3" w:rsidP="002A57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Situazione amministrativa</w:t>
      </w:r>
    </w:p>
    <w:p w14:paraId="3DB9340D" w14:textId="77777777" w:rsidR="002A57A3" w:rsidRDefault="002A57A3" w:rsidP="002A5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>Al Conto del bilancio è allegata la situazione amministrativa.</w:t>
      </w:r>
    </w:p>
    <w:p w14:paraId="050EA434" w14:textId="66051C01" w:rsidR="002A57A3" w:rsidRDefault="002A57A3" w:rsidP="002A57A3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Essa evidenzia i movimenti dei conti di cassa, dei conti correnti bancari, dei titoli e delle carte di credito, dalle consistenze iniziali, alle riscossioni e i pagamenti ricevuti ed eseguiti nel corso dell’esercizio, ai saldi finali. Il fondo cassa finale è pari ad euro </w:t>
      </w:r>
      <w:r w:rsidR="00DA4E93">
        <w:rPr>
          <w:rFonts w:ascii="Times New Roman" w:hAnsi="Times New Roman"/>
          <w:sz w:val="24"/>
          <w:szCs w:val="24"/>
          <w:lang w:eastAsia="it-IT"/>
        </w:rPr>
        <w:t>936</w:t>
      </w:r>
      <w:r>
        <w:rPr>
          <w:rFonts w:ascii="Times New Roman" w:hAnsi="Times New Roman"/>
          <w:sz w:val="24"/>
          <w:szCs w:val="24"/>
          <w:lang w:eastAsia="it-IT"/>
        </w:rPr>
        <w:t>.</w:t>
      </w:r>
      <w:r w:rsidR="00DA4E93">
        <w:rPr>
          <w:rFonts w:ascii="Times New Roman" w:hAnsi="Times New Roman"/>
          <w:sz w:val="24"/>
          <w:szCs w:val="24"/>
          <w:lang w:eastAsia="it-IT"/>
        </w:rPr>
        <w:t>963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="00DA4E93">
        <w:rPr>
          <w:rFonts w:ascii="Times New Roman" w:hAnsi="Times New Roman"/>
          <w:sz w:val="24"/>
          <w:szCs w:val="24"/>
          <w:lang w:eastAsia="it-IT"/>
        </w:rPr>
        <w:t>65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DBE0B53" w14:textId="0F2B2163" w:rsidR="002A57A3" w:rsidRDefault="002A57A3" w:rsidP="002A5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57A3">
        <w:rPr>
          <w:rFonts w:ascii="Times New Roman" w:hAnsi="Times New Roman"/>
          <w:color w:val="000000"/>
          <w:sz w:val="24"/>
          <w:szCs w:val="24"/>
        </w:rPr>
        <w:t xml:space="preserve">I residui attivi finali ammontano a </w:t>
      </w:r>
      <w:r w:rsidR="00DA4E93">
        <w:rPr>
          <w:rFonts w:ascii="Times New Roman" w:hAnsi="Times New Roman"/>
          <w:color w:val="000000"/>
          <w:sz w:val="24"/>
          <w:szCs w:val="24"/>
        </w:rPr>
        <w:t>53</w:t>
      </w:r>
      <w:r w:rsidRPr="002A57A3">
        <w:rPr>
          <w:rFonts w:ascii="Times New Roman" w:hAnsi="Times New Roman"/>
          <w:color w:val="000000"/>
          <w:sz w:val="24"/>
          <w:szCs w:val="24"/>
        </w:rPr>
        <w:t>.</w:t>
      </w:r>
      <w:r w:rsidR="00DA4E93">
        <w:rPr>
          <w:rFonts w:ascii="Times New Roman" w:hAnsi="Times New Roman"/>
          <w:color w:val="000000"/>
          <w:sz w:val="24"/>
          <w:szCs w:val="24"/>
        </w:rPr>
        <w:t>870</w:t>
      </w:r>
      <w:r w:rsidRPr="002A57A3">
        <w:rPr>
          <w:rFonts w:ascii="Times New Roman" w:hAnsi="Times New Roman"/>
          <w:color w:val="000000"/>
          <w:sz w:val="24"/>
          <w:szCs w:val="24"/>
        </w:rPr>
        <w:t>,</w:t>
      </w:r>
      <w:r w:rsidR="00DA4E93">
        <w:rPr>
          <w:rFonts w:ascii="Times New Roman" w:hAnsi="Times New Roman"/>
          <w:color w:val="000000"/>
          <w:sz w:val="24"/>
          <w:szCs w:val="24"/>
        </w:rPr>
        <w:t>98</w:t>
      </w:r>
      <w:r w:rsidRPr="002A57A3">
        <w:rPr>
          <w:rFonts w:ascii="Times New Roman" w:hAnsi="Times New Roman"/>
          <w:color w:val="000000"/>
          <w:sz w:val="24"/>
          <w:szCs w:val="24"/>
        </w:rPr>
        <w:t xml:space="preserve">€. I residui passivi finali ammontano a </w:t>
      </w:r>
      <w:r w:rsidR="00DA4E93">
        <w:rPr>
          <w:rFonts w:ascii="Times New Roman" w:hAnsi="Times New Roman"/>
          <w:color w:val="000000"/>
          <w:sz w:val="24"/>
          <w:szCs w:val="24"/>
        </w:rPr>
        <w:t>431</w:t>
      </w:r>
      <w:r w:rsidRPr="002A57A3">
        <w:rPr>
          <w:rFonts w:ascii="Times New Roman" w:hAnsi="Times New Roman"/>
          <w:color w:val="000000"/>
          <w:sz w:val="24"/>
          <w:szCs w:val="24"/>
        </w:rPr>
        <w:t>.</w:t>
      </w:r>
      <w:r w:rsidR="00DA4E93">
        <w:rPr>
          <w:rFonts w:ascii="Times New Roman" w:hAnsi="Times New Roman"/>
          <w:color w:val="000000"/>
          <w:sz w:val="24"/>
          <w:szCs w:val="24"/>
        </w:rPr>
        <w:t>473</w:t>
      </w:r>
      <w:r w:rsidRPr="002A57A3">
        <w:rPr>
          <w:rFonts w:ascii="Times New Roman" w:hAnsi="Times New Roman"/>
          <w:color w:val="000000"/>
          <w:sz w:val="24"/>
          <w:szCs w:val="24"/>
        </w:rPr>
        <w:t>,</w:t>
      </w:r>
      <w:r w:rsidR="00DA4E93">
        <w:rPr>
          <w:rFonts w:ascii="Times New Roman" w:hAnsi="Times New Roman"/>
          <w:color w:val="000000"/>
          <w:sz w:val="24"/>
          <w:szCs w:val="24"/>
        </w:rPr>
        <w:t>74</w:t>
      </w:r>
      <w:r w:rsidRPr="002A57A3">
        <w:rPr>
          <w:rFonts w:ascii="Times New Roman" w:hAnsi="Times New Roman"/>
          <w:color w:val="000000"/>
          <w:sz w:val="24"/>
          <w:szCs w:val="24"/>
        </w:rPr>
        <w:t>€</w:t>
      </w:r>
    </w:p>
    <w:p w14:paraId="1EC53DFB" w14:textId="2010221A" w:rsidR="002A57A3" w:rsidRDefault="002A57A3" w:rsidP="002A5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Il risultato di amministrazione finale, pari a € </w:t>
      </w:r>
      <w:r w:rsidR="00DA4E93">
        <w:rPr>
          <w:rFonts w:ascii="Times New Roman" w:hAnsi="Times New Roman"/>
          <w:sz w:val="24"/>
          <w:szCs w:val="24"/>
          <w:lang w:eastAsia="it-IT"/>
        </w:rPr>
        <w:t>5</w:t>
      </w:r>
      <w:r>
        <w:rPr>
          <w:rFonts w:ascii="Times New Roman" w:hAnsi="Times New Roman"/>
          <w:sz w:val="24"/>
          <w:szCs w:val="24"/>
          <w:lang w:eastAsia="it-IT"/>
        </w:rPr>
        <w:t>78.</w:t>
      </w:r>
      <w:r w:rsidR="00DA4E93">
        <w:rPr>
          <w:rFonts w:ascii="Times New Roman" w:hAnsi="Times New Roman"/>
          <w:sz w:val="24"/>
          <w:szCs w:val="24"/>
          <w:lang w:eastAsia="it-IT"/>
        </w:rPr>
        <w:t>429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="00DA4E93">
        <w:rPr>
          <w:rFonts w:ascii="Times New Roman" w:hAnsi="Times New Roman"/>
          <w:sz w:val="24"/>
          <w:szCs w:val="24"/>
          <w:lang w:eastAsia="it-IT"/>
        </w:rPr>
        <w:t>83</w:t>
      </w:r>
      <w:r>
        <w:rPr>
          <w:rFonts w:ascii="Times New Roman" w:hAnsi="Times New Roman"/>
          <w:sz w:val="24"/>
          <w:szCs w:val="24"/>
          <w:lang w:eastAsia="it-IT"/>
        </w:rPr>
        <w:t xml:space="preserve"> è vincolato per € </w:t>
      </w:r>
      <w:r w:rsidR="00DA4E93">
        <w:rPr>
          <w:rFonts w:ascii="Times New Roman" w:hAnsi="Times New Roman"/>
          <w:sz w:val="24"/>
          <w:szCs w:val="24"/>
          <w:lang w:eastAsia="it-IT"/>
        </w:rPr>
        <w:t>89</w:t>
      </w:r>
      <w:r>
        <w:rPr>
          <w:rFonts w:ascii="Times New Roman" w:hAnsi="Times New Roman"/>
          <w:sz w:val="24"/>
          <w:szCs w:val="24"/>
        </w:rPr>
        <w:t>.</w:t>
      </w:r>
      <w:r w:rsidR="00DA4E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53,</w:t>
      </w:r>
      <w:r w:rsidR="00DA4E93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  <w:lang w:eastAsia="it-IT"/>
        </w:rPr>
        <w:t>, pari al trattamento di fine rapporto maturato al 31/12/202</w:t>
      </w:r>
      <w:r w:rsidR="00DA4E93">
        <w:rPr>
          <w:rFonts w:ascii="Times New Roman" w:hAnsi="Times New Roman"/>
          <w:sz w:val="24"/>
          <w:szCs w:val="24"/>
          <w:lang w:eastAsia="it-IT"/>
        </w:rPr>
        <w:t>4</w:t>
      </w:r>
      <w:r>
        <w:rPr>
          <w:rFonts w:ascii="Times New Roman" w:hAnsi="Times New Roman"/>
          <w:sz w:val="24"/>
          <w:szCs w:val="24"/>
          <w:lang w:eastAsia="it-IT"/>
        </w:rPr>
        <w:t xml:space="preserve"> a favore dei dipendenti</w:t>
      </w:r>
      <w:r w:rsidR="000A035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DA4E93">
        <w:rPr>
          <w:rFonts w:ascii="Times New Roman" w:hAnsi="Times New Roman"/>
          <w:sz w:val="24"/>
          <w:szCs w:val="24"/>
          <w:lang w:eastAsia="it-IT"/>
        </w:rPr>
        <w:t xml:space="preserve">per un importo pari a 29,033,95 </w:t>
      </w:r>
      <w:r w:rsidR="000A0352">
        <w:rPr>
          <w:rFonts w:ascii="Times New Roman" w:hAnsi="Times New Roman"/>
          <w:sz w:val="24"/>
          <w:szCs w:val="24"/>
          <w:lang w:eastAsia="it-IT"/>
        </w:rPr>
        <w:t xml:space="preserve">e per </w:t>
      </w:r>
      <w:r w:rsidR="00DA4E93">
        <w:rPr>
          <w:rFonts w:ascii="Times New Roman" w:hAnsi="Times New Roman"/>
          <w:sz w:val="24"/>
          <w:szCs w:val="24"/>
          <w:lang w:eastAsia="it-IT"/>
        </w:rPr>
        <w:t>60</w:t>
      </w:r>
      <w:r w:rsidR="000A0352">
        <w:rPr>
          <w:rFonts w:ascii="Times New Roman" w:hAnsi="Times New Roman"/>
          <w:sz w:val="24"/>
          <w:szCs w:val="24"/>
          <w:lang w:eastAsia="it-IT"/>
        </w:rPr>
        <w:t>.</w:t>
      </w:r>
      <w:r w:rsidR="00DA4E93">
        <w:rPr>
          <w:rFonts w:ascii="Times New Roman" w:hAnsi="Times New Roman"/>
          <w:sz w:val="24"/>
          <w:szCs w:val="24"/>
          <w:lang w:eastAsia="it-IT"/>
        </w:rPr>
        <w:t>120</w:t>
      </w:r>
      <w:r w:rsidR="000A0352">
        <w:rPr>
          <w:rFonts w:ascii="Times New Roman" w:hAnsi="Times New Roman"/>
          <w:sz w:val="24"/>
          <w:szCs w:val="24"/>
          <w:lang w:eastAsia="it-IT"/>
        </w:rPr>
        <w:t xml:space="preserve">,00 al Fondo </w:t>
      </w:r>
      <w:r w:rsidR="00DA4E93">
        <w:rPr>
          <w:rFonts w:ascii="Times New Roman" w:hAnsi="Times New Roman"/>
          <w:sz w:val="24"/>
          <w:szCs w:val="24"/>
          <w:lang w:eastAsia="it-IT"/>
        </w:rPr>
        <w:t>per Imposte e Tasse</w:t>
      </w:r>
      <w:r>
        <w:rPr>
          <w:rFonts w:ascii="Times New Roman" w:hAnsi="Times New Roman"/>
          <w:sz w:val="24"/>
          <w:szCs w:val="24"/>
          <w:lang w:eastAsia="it-IT"/>
        </w:rPr>
        <w:t xml:space="preserve">. La parte liberamente disponibile è quindi pari a € </w:t>
      </w:r>
      <w:r w:rsidR="00DA4E93">
        <w:rPr>
          <w:rFonts w:ascii="Times New Roman" w:hAnsi="Times New Roman"/>
          <w:sz w:val="24"/>
          <w:szCs w:val="24"/>
          <w:lang w:eastAsia="it-IT"/>
        </w:rPr>
        <w:t>489</w:t>
      </w:r>
      <w:r w:rsidR="000A0352">
        <w:rPr>
          <w:rFonts w:ascii="Times New Roman" w:hAnsi="Times New Roman"/>
          <w:sz w:val="24"/>
          <w:szCs w:val="24"/>
          <w:lang w:eastAsia="it-IT"/>
        </w:rPr>
        <w:t>.</w:t>
      </w:r>
      <w:r w:rsidR="00DA4E93">
        <w:rPr>
          <w:rFonts w:ascii="Times New Roman" w:hAnsi="Times New Roman"/>
          <w:sz w:val="24"/>
          <w:szCs w:val="24"/>
          <w:lang w:eastAsia="it-IT"/>
        </w:rPr>
        <w:t>275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="00DA4E93">
        <w:rPr>
          <w:rFonts w:ascii="Times New Roman" w:hAnsi="Times New Roman"/>
          <w:sz w:val="24"/>
          <w:szCs w:val="24"/>
          <w:lang w:eastAsia="it-IT"/>
        </w:rPr>
        <w:t>88</w:t>
      </w:r>
      <w:r>
        <w:rPr>
          <w:rFonts w:ascii="Times New Roman" w:hAnsi="Times New Roman"/>
          <w:sz w:val="24"/>
          <w:szCs w:val="24"/>
          <w:lang w:eastAsia="it-IT"/>
        </w:rPr>
        <w:t>.</w:t>
      </w:r>
    </w:p>
    <w:p w14:paraId="5B3E344D" w14:textId="77777777" w:rsidR="002F6283" w:rsidRDefault="002F6283" w:rsidP="002A5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71DD1B3A" w14:textId="5C32A665" w:rsidR="002F6283" w:rsidRDefault="002F6283" w:rsidP="002A57A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Preventivo 202</w:t>
      </w:r>
      <w:r w:rsidR="00DA4E93">
        <w:rPr>
          <w:rFonts w:ascii="Times New Roman" w:hAnsi="Times New Roman"/>
          <w:b/>
          <w:bCs/>
          <w:sz w:val="24"/>
          <w:szCs w:val="24"/>
          <w:lang w:eastAsia="it-IT"/>
        </w:rPr>
        <w:t>5</w:t>
      </w:r>
    </w:p>
    <w:p w14:paraId="0AC59E43" w14:textId="5BEEBD13" w:rsidR="002F6283" w:rsidRPr="002F6283" w:rsidRDefault="002F6283" w:rsidP="002A57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Il preventivo 202</w:t>
      </w:r>
      <w:r w:rsidR="00DA4E93">
        <w:rPr>
          <w:rFonts w:ascii="Times New Roman" w:hAnsi="Times New Roman"/>
          <w:sz w:val="24"/>
          <w:szCs w:val="24"/>
          <w:lang w:eastAsia="it-IT"/>
        </w:rPr>
        <w:t>5</w:t>
      </w:r>
      <w:r>
        <w:rPr>
          <w:rFonts w:ascii="Times New Roman" w:hAnsi="Times New Roman"/>
          <w:sz w:val="24"/>
          <w:szCs w:val="24"/>
          <w:lang w:eastAsia="it-IT"/>
        </w:rPr>
        <w:t xml:space="preserve"> è stato redatto sulla base del rendiconto 202</w:t>
      </w:r>
      <w:r w:rsidR="00DA4E93">
        <w:rPr>
          <w:rFonts w:ascii="Times New Roman" w:hAnsi="Times New Roman"/>
          <w:sz w:val="24"/>
          <w:szCs w:val="24"/>
          <w:lang w:eastAsia="it-IT"/>
        </w:rPr>
        <w:t>4</w:t>
      </w:r>
      <w:r>
        <w:rPr>
          <w:rFonts w:ascii="Times New Roman" w:hAnsi="Times New Roman"/>
          <w:sz w:val="24"/>
          <w:szCs w:val="24"/>
          <w:lang w:eastAsia="it-IT"/>
        </w:rPr>
        <w:t xml:space="preserve"> e delle novità riguardanti le entrate dell’Organismo di Mediazione. Per quanto riguarda l’attività istituzionale prevediamo di incassare 5</w:t>
      </w:r>
      <w:r w:rsidR="0012794E">
        <w:rPr>
          <w:rFonts w:ascii="Times New Roman" w:hAnsi="Times New Roman"/>
          <w:sz w:val="24"/>
          <w:szCs w:val="24"/>
          <w:lang w:eastAsia="it-IT"/>
        </w:rPr>
        <w:t>71</w:t>
      </w:r>
      <w:r>
        <w:rPr>
          <w:rFonts w:ascii="Times New Roman" w:hAnsi="Times New Roman"/>
          <w:sz w:val="24"/>
          <w:szCs w:val="24"/>
          <w:lang w:eastAsia="it-IT"/>
        </w:rPr>
        <w:t>.</w:t>
      </w:r>
      <w:r w:rsidR="00DA4E93">
        <w:rPr>
          <w:rFonts w:ascii="Times New Roman" w:hAnsi="Times New Roman"/>
          <w:sz w:val="24"/>
          <w:szCs w:val="24"/>
          <w:lang w:eastAsia="it-IT"/>
        </w:rPr>
        <w:t>19</w:t>
      </w:r>
      <w:r>
        <w:rPr>
          <w:rFonts w:ascii="Times New Roman" w:hAnsi="Times New Roman"/>
          <w:sz w:val="24"/>
          <w:szCs w:val="24"/>
          <w:lang w:eastAsia="it-IT"/>
        </w:rPr>
        <w:t>0 euro di tasse annuali</w:t>
      </w:r>
      <w:r w:rsidR="0012794E">
        <w:rPr>
          <w:rFonts w:ascii="Times New Roman" w:hAnsi="Times New Roman"/>
          <w:sz w:val="24"/>
          <w:szCs w:val="24"/>
          <w:lang w:eastAsia="it-IT"/>
        </w:rPr>
        <w:t xml:space="preserve"> e contributi. </w:t>
      </w:r>
      <w:r>
        <w:rPr>
          <w:rFonts w:ascii="Times New Roman" w:hAnsi="Times New Roman"/>
          <w:sz w:val="24"/>
          <w:szCs w:val="24"/>
          <w:lang w:eastAsia="it-IT"/>
        </w:rPr>
        <w:t>Per l’attività di mediazione</w:t>
      </w:r>
      <w:r w:rsidR="006E610D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prevediamo di incassare </w:t>
      </w:r>
      <w:r w:rsidR="006E610D">
        <w:rPr>
          <w:rFonts w:ascii="Times New Roman" w:hAnsi="Times New Roman"/>
          <w:sz w:val="24"/>
          <w:szCs w:val="24"/>
          <w:lang w:eastAsia="it-IT"/>
        </w:rPr>
        <w:t>588</w:t>
      </w:r>
      <w:r>
        <w:rPr>
          <w:rFonts w:ascii="Times New Roman" w:hAnsi="Times New Roman"/>
          <w:sz w:val="24"/>
          <w:szCs w:val="24"/>
          <w:lang w:eastAsia="it-IT"/>
        </w:rPr>
        <w:t xml:space="preserve">.000 </w:t>
      </w:r>
      <w:r w:rsidR="006E610D">
        <w:rPr>
          <w:rFonts w:ascii="Times New Roman" w:hAnsi="Times New Roman"/>
          <w:sz w:val="24"/>
          <w:szCs w:val="24"/>
          <w:lang w:eastAsia="it-IT"/>
        </w:rPr>
        <w:t>euro,</w:t>
      </w:r>
      <w:r w:rsidR="00FC04CA">
        <w:rPr>
          <w:rFonts w:ascii="Times New Roman" w:hAnsi="Times New Roman"/>
          <w:sz w:val="24"/>
          <w:szCs w:val="24"/>
          <w:lang w:eastAsia="it-IT"/>
        </w:rPr>
        <w:t xml:space="preserve"> dato assolutamente prudenziale</w:t>
      </w:r>
      <w:r w:rsidR="006E610D">
        <w:rPr>
          <w:rFonts w:ascii="Times New Roman" w:hAnsi="Times New Roman"/>
          <w:sz w:val="24"/>
          <w:szCs w:val="24"/>
          <w:lang w:eastAsia="it-IT"/>
        </w:rPr>
        <w:t xml:space="preserve"> rispetto agli incassi 2024</w:t>
      </w:r>
      <w:r w:rsidR="00FC04CA">
        <w:rPr>
          <w:rFonts w:ascii="Times New Roman" w:hAnsi="Times New Roman"/>
          <w:sz w:val="24"/>
          <w:szCs w:val="24"/>
          <w:lang w:eastAsia="it-IT"/>
        </w:rPr>
        <w:t>.</w:t>
      </w:r>
      <w:r w:rsidR="00C9784F">
        <w:rPr>
          <w:rFonts w:ascii="Times New Roman" w:hAnsi="Times New Roman"/>
          <w:sz w:val="24"/>
          <w:szCs w:val="24"/>
          <w:lang w:eastAsia="it-IT"/>
        </w:rPr>
        <w:t xml:space="preserve"> Il totale delle entrate correnti previste è pari a euro 1.</w:t>
      </w:r>
      <w:r w:rsidR="006E610D">
        <w:rPr>
          <w:rFonts w:ascii="Times New Roman" w:hAnsi="Times New Roman"/>
          <w:sz w:val="24"/>
          <w:szCs w:val="24"/>
          <w:lang w:eastAsia="it-IT"/>
        </w:rPr>
        <w:t>273</w:t>
      </w:r>
      <w:r w:rsidR="00C9784F">
        <w:rPr>
          <w:rFonts w:ascii="Times New Roman" w:hAnsi="Times New Roman"/>
          <w:sz w:val="24"/>
          <w:szCs w:val="24"/>
          <w:lang w:eastAsia="it-IT"/>
        </w:rPr>
        <w:t>.</w:t>
      </w:r>
      <w:r w:rsidR="006E610D">
        <w:rPr>
          <w:rFonts w:ascii="Times New Roman" w:hAnsi="Times New Roman"/>
          <w:sz w:val="24"/>
          <w:szCs w:val="24"/>
          <w:lang w:eastAsia="it-IT"/>
        </w:rPr>
        <w:t>76</w:t>
      </w:r>
      <w:r w:rsidR="00C9784F">
        <w:rPr>
          <w:rFonts w:ascii="Times New Roman" w:hAnsi="Times New Roman"/>
          <w:sz w:val="24"/>
          <w:szCs w:val="24"/>
          <w:lang w:eastAsia="it-IT"/>
        </w:rPr>
        <w:t xml:space="preserve">5,00. Relativamente alle spese è necessario rilevare </w:t>
      </w:r>
      <w:r w:rsidR="006E610D">
        <w:rPr>
          <w:rFonts w:ascii="Times New Roman" w:hAnsi="Times New Roman"/>
          <w:sz w:val="24"/>
          <w:szCs w:val="24"/>
          <w:lang w:eastAsia="it-IT"/>
        </w:rPr>
        <w:t>l’azzeramento</w:t>
      </w:r>
      <w:r w:rsidR="00C9784F">
        <w:rPr>
          <w:rFonts w:ascii="Times New Roman" w:hAnsi="Times New Roman"/>
          <w:sz w:val="24"/>
          <w:szCs w:val="24"/>
          <w:lang w:eastAsia="it-IT"/>
        </w:rPr>
        <w:t xml:space="preserve"> del contributo dato alla Fondazione Forense </w:t>
      </w:r>
      <w:r w:rsidR="00FC04CA">
        <w:rPr>
          <w:rFonts w:ascii="Times New Roman" w:hAnsi="Times New Roman"/>
          <w:sz w:val="24"/>
          <w:szCs w:val="24"/>
          <w:lang w:eastAsia="it-IT"/>
        </w:rPr>
        <w:t>Modenese</w:t>
      </w:r>
      <w:r w:rsidR="00C9784F">
        <w:rPr>
          <w:rFonts w:ascii="Times New Roman" w:hAnsi="Times New Roman"/>
          <w:sz w:val="24"/>
          <w:szCs w:val="24"/>
          <w:lang w:eastAsia="it-IT"/>
        </w:rPr>
        <w:t xml:space="preserve">. </w:t>
      </w:r>
      <w:r w:rsidR="006E610D">
        <w:rPr>
          <w:rFonts w:ascii="Times New Roman" w:hAnsi="Times New Roman"/>
          <w:sz w:val="24"/>
          <w:szCs w:val="24"/>
          <w:lang w:eastAsia="it-IT"/>
        </w:rPr>
        <w:t>I</w:t>
      </w:r>
      <w:r w:rsidR="00C9784F">
        <w:rPr>
          <w:rFonts w:ascii="Times New Roman" w:hAnsi="Times New Roman"/>
          <w:sz w:val="24"/>
          <w:szCs w:val="24"/>
          <w:lang w:eastAsia="it-IT"/>
        </w:rPr>
        <w:t xml:space="preserve">l contributo </w:t>
      </w:r>
      <w:r w:rsidR="00703351">
        <w:rPr>
          <w:rFonts w:ascii="Times New Roman" w:hAnsi="Times New Roman"/>
          <w:sz w:val="24"/>
          <w:szCs w:val="24"/>
          <w:lang w:eastAsia="it-IT"/>
        </w:rPr>
        <w:t>annuale dovuto d</w:t>
      </w:r>
      <w:r w:rsidR="00C9784F">
        <w:rPr>
          <w:rFonts w:ascii="Times New Roman" w:hAnsi="Times New Roman"/>
          <w:sz w:val="24"/>
          <w:szCs w:val="24"/>
          <w:lang w:eastAsia="it-IT"/>
        </w:rPr>
        <w:t>agli iscritti</w:t>
      </w:r>
      <w:r w:rsidR="00703351">
        <w:rPr>
          <w:rFonts w:ascii="Times New Roman" w:hAnsi="Times New Roman"/>
          <w:sz w:val="24"/>
          <w:szCs w:val="24"/>
          <w:lang w:eastAsia="it-IT"/>
        </w:rPr>
        <w:t xml:space="preserve"> all’albo</w:t>
      </w:r>
      <w:r w:rsidR="00C9784F">
        <w:rPr>
          <w:rFonts w:ascii="Times New Roman" w:hAnsi="Times New Roman"/>
          <w:sz w:val="24"/>
          <w:szCs w:val="24"/>
          <w:lang w:eastAsia="it-IT"/>
        </w:rPr>
        <w:t>.</w:t>
      </w:r>
      <w:r w:rsidR="00B74EC7">
        <w:rPr>
          <w:rFonts w:ascii="Times New Roman" w:hAnsi="Times New Roman"/>
          <w:sz w:val="24"/>
          <w:szCs w:val="24"/>
          <w:lang w:eastAsia="it-IT"/>
        </w:rPr>
        <w:t xml:space="preserve"> Sostanzialmente invariate le altre spese. </w:t>
      </w:r>
      <w:r w:rsidR="00C9784F">
        <w:rPr>
          <w:rFonts w:ascii="Times New Roman" w:hAnsi="Times New Roman"/>
          <w:sz w:val="24"/>
          <w:szCs w:val="24"/>
          <w:lang w:eastAsia="it-IT"/>
        </w:rPr>
        <w:t xml:space="preserve"> Il totale delle spese pareggia con il totale delle entrate.</w:t>
      </w:r>
      <w:r w:rsidR="00B74EC7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3E9C65C8" w14:textId="77777777" w:rsidR="002A57A3" w:rsidRPr="00EB22CB" w:rsidRDefault="002A57A3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3CA15FF" w14:textId="7D9ACA33" w:rsidR="00ED67EE" w:rsidRPr="008D5013" w:rsidRDefault="00ED67EE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1ABA923C" w14:textId="64109773" w:rsidR="00ED67EE" w:rsidRPr="008D5013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D5013">
        <w:rPr>
          <w:rFonts w:ascii="Times New Roman" w:hAnsi="Times New Roman"/>
          <w:sz w:val="24"/>
          <w:szCs w:val="24"/>
          <w:lang w:eastAsia="it-IT"/>
        </w:rPr>
        <w:t>La presente Relazione si conclude con l’invito ai Colleghi a formulare eventuali richieste di chiarimenti e, successivamente, ad approvare il b</w:t>
      </w:r>
      <w:r w:rsidR="00E0143A" w:rsidRPr="008D5013">
        <w:rPr>
          <w:rFonts w:ascii="Times New Roman" w:hAnsi="Times New Roman"/>
          <w:sz w:val="24"/>
          <w:szCs w:val="24"/>
          <w:lang w:eastAsia="it-IT"/>
        </w:rPr>
        <w:t xml:space="preserve">ilancio consuntivo al </w:t>
      </w:r>
      <w:r w:rsidR="008D5013" w:rsidRPr="008D5013">
        <w:rPr>
          <w:rFonts w:ascii="Times New Roman" w:hAnsi="Times New Roman"/>
          <w:sz w:val="24"/>
          <w:szCs w:val="24"/>
          <w:lang w:eastAsia="it-IT"/>
        </w:rPr>
        <w:t>31/12/202</w:t>
      </w:r>
      <w:r w:rsidR="006E610D">
        <w:rPr>
          <w:rFonts w:ascii="Times New Roman" w:hAnsi="Times New Roman"/>
          <w:sz w:val="24"/>
          <w:szCs w:val="24"/>
          <w:lang w:eastAsia="it-IT"/>
        </w:rPr>
        <w:t>4</w:t>
      </w:r>
      <w:r w:rsidRPr="008D5013">
        <w:rPr>
          <w:rFonts w:ascii="Times New Roman" w:hAnsi="Times New Roman"/>
          <w:sz w:val="24"/>
          <w:szCs w:val="24"/>
          <w:lang w:eastAsia="it-IT"/>
        </w:rPr>
        <w:t>.</w:t>
      </w:r>
    </w:p>
    <w:p w14:paraId="0288BCED" w14:textId="6B8767BC" w:rsidR="00ED67EE" w:rsidRPr="008D5013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D5013">
        <w:rPr>
          <w:rFonts w:ascii="Times New Roman" w:hAnsi="Times New Roman"/>
          <w:sz w:val="24"/>
          <w:szCs w:val="24"/>
          <w:lang w:eastAsia="it-IT"/>
        </w:rPr>
        <w:t>Modena</w:t>
      </w:r>
      <w:r w:rsidR="008D5013" w:rsidRPr="008D5013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6E610D">
        <w:rPr>
          <w:rFonts w:ascii="Times New Roman" w:hAnsi="Times New Roman"/>
          <w:sz w:val="24"/>
          <w:szCs w:val="24"/>
          <w:lang w:eastAsia="it-IT"/>
        </w:rPr>
        <w:t>30</w:t>
      </w:r>
      <w:r w:rsidR="008D5013" w:rsidRPr="008D5013">
        <w:rPr>
          <w:rFonts w:ascii="Times New Roman" w:hAnsi="Times New Roman"/>
          <w:sz w:val="24"/>
          <w:szCs w:val="24"/>
          <w:lang w:eastAsia="it-IT"/>
        </w:rPr>
        <w:t xml:space="preserve"> aprile 202</w:t>
      </w:r>
      <w:r w:rsidR="006E610D">
        <w:rPr>
          <w:rFonts w:ascii="Times New Roman" w:hAnsi="Times New Roman"/>
          <w:sz w:val="24"/>
          <w:szCs w:val="24"/>
          <w:lang w:eastAsia="it-IT"/>
        </w:rPr>
        <w:t>5</w:t>
      </w:r>
    </w:p>
    <w:p w14:paraId="52C47B41" w14:textId="77777777" w:rsidR="00ED67EE" w:rsidRPr="009C22B5" w:rsidRDefault="00ED67EE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14:paraId="56B95E6E" w14:textId="77777777" w:rsidR="00ED67EE" w:rsidRDefault="00F1545D" w:rsidP="00B92C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D5013">
        <w:rPr>
          <w:rFonts w:ascii="Times New Roman" w:hAnsi="Times New Roman"/>
          <w:sz w:val="24"/>
          <w:szCs w:val="24"/>
          <w:lang w:eastAsia="it-IT"/>
        </w:rPr>
        <w:t>Il Tesoriere Avv. Andrea Violi</w:t>
      </w:r>
    </w:p>
    <w:sectPr w:rsidR="00ED6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46BE" w14:textId="77777777" w:rsidR="00ED67EE" w:rsidRDefault="00F1545D">
      <w:pPr>
        <w:spacing w:line="240" w:lineRule="auto"/>
      </w:pPr>
      <w:r>
        <w:separator/>
      </w:r>
    </w:p>
  </w:endnote>
  <w:endnote w:type="continuationSeparator" w:id="0">
    <w:p w14:paraId="5F5B57BC" w14:textId="77777777" w:rsidR="00ED67EE" w:rsidRDefault="00F15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8F6F" w14:textId="77777777" w:rsidR="00ED67EE" w:rsidRDefault="00F1545D">
      <w:pPr>
        <w:spacing w:after="0"/>
      </w:pPr>
      <w:r>
        <w:separator/>
      </w:r>
    </w:p>
  </w:footnote>
  <w:footnote w:type="continuationSeparator" w:id="0">
    <w:p w14:paraId="26477930" w14:textId="77777777" w:rsidR="00ED67EE" w:rsidRDefault="00F154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B7412"/>
    <w:multiLevelType w:val="hybridMultilevel"/>
    <w:tmpl w:val="255A65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C3957"/>
    <w:multiLevelType w:val="multilevel"/>
    <w:tmpl w:val="7BAC3957"/>
    <w:lvl w:ilvl="0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070273">
    <w:abstractNumId w:val="1"/>
  </w:num>
  <w:num w:numId="2" w16cid:durableId="55380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84"/>
    <w:rsid w:val="00004FFE"/>
    <w:rsid w:val="000113F9"/>
    <w:rsid w:val="000152E5"/>
    <w:rsid w:val="00023FD6"/>
    <w:rsid w:val="000911F2"/>
    <w:rsid w:val="000A0352"/>
    <w:rsid w:val="000C17F3"/>
    <w:rsid w:val="000C33FA"/>
    <w:rsid w:val="000D3FC0"/>
    <w:rsid w:val="000F5F1B"/>
    <w:rsid w:val="0010299B"/>
    <w:rsid w:val="00104D37"/>
    <w:rsid w:val="001107CD"/>
    <w:rsid w:val="0012794E"/>
    <w:rsid w:val="00133F00"/>
    <w:rsid w:val="00172FB8"/>
    <w:rsid w:val="001D4F3B"/>
    <w:rsid w:val="00200485"/>
    <w:rsid w:val="0021771D"/>
    <w:rsid w:val="00242E2F"/>
    <w:rsid w:val="0024526D"/>
    <w:rsid w:val="0026067E"/>
    <w:rsid w:val="00292316"/>
    <w:rsid w:val="002A57A3"/>
    <w:rsid w:val="002A72E9"/>
    <w:rsid w:val="002B2055"/>
    <w:rsid w:val="002C4B62"/>
    <w:rsid w:val="002D3A32"/>
    <w:rsid w:val="002E7BE6"/>
    <w:rsid w:val="002F4C2B"/>
    <w:rsid w:val="002F6283"/>
    <w:rsid w:val="00303AA1"/>
    <w:rsid w:val="003372FB"/>
    <w:rsid w:val="0035173A"/>
    <w:rsid w:val="003853B5"/>
    <w:rsid w:val="003B193C"/>
    <w:rsid w:val="003B5860"/>
    <w:rsid w:val="003D183F"/>
    <w:rsid w:val="003F1C28"/>
    <w:rsid w:val="003F39D3"/>
    <w:rsid w:val="00413A4A"/>
    <w:rsid w:val="00425744"/>
    <w:rsid w:val="00433FE8"/>
    <w:rsid w:val="00473746"/>
    <w:rsid w:val="00513405"/>
    <w:rsid w:val="00515C40"/>
    <w:rsid w:val="005168E4"/>
    <w:rsid w:val="00522642"/>
    <w:rsid w:val="0053038C"/>
    <w:rsid w:val="00544261"/>
    <w:rsid w:val="00565AA9"/>
    <w:rsid w:val="00581034"/>
    <w:rsid w:val="00591410"/>
    <w:rsid w:val="005A7FAF"/>
    <w:rsid w:val="005C2926"/>
    <w:rsid w:val="005D1B3D"/>
    <w:rsid w:val="005D67B2"/>
    <w:rsid w:val="005D6BA2"/>
    <w:rsid w:val="005E63BE"/>
    <w:rsid w:val="005F141B"/>
    <w:rsid w:val="00636E88"/>
    <w:rsid w:val="0065354D"/>
    <w:rsid w:val="00657C3F"/>
    <w:rsid w:val="00660B5A"/>
    <w:rsid w:val="0066781B"/>
    <w:rsid w:val="00690E96"/>
    <w:rsid w:val="006A271A"/>
    <w:rsid w:val="006A5971"/>
    <w:rsid w:val="006B58F3"/>
    <w:rsid w:val="006C17C9"/>
    <w:rsid w:val="006C4E19"/>
    <w:rsid w:val="006E610D"/>
    <w:rsid w:val="007001D9"/>
    <w:rsid w:val="00703351"/>
    <w:rsid w:val="00706FF8"/>
    <w:rsid w:val="00726235"/>
    <w:rsid w:val="0074509D"/>
    <w:rsid w:val="00757037"/>
    <w:rsid w:val="00774BEB"/>
    <w:rsid w:val="00776FB1"/>
    <w:rsid w:val="007958FC"/>
    <w:rsid w:val="007A620D"/>
    <w:rsid w:val="007C0CDC"/>
    <w:rsid w:val="00805CE9"/>
    <w:rsid w:val="008314C4"/>
    <w:rsid w:val="008438CD"/>
    <w:rsid w:val="00844E3B"/>
    <w:rsid w:val="00893453"/>
    <w:rsid w:val="008965F0"/>
    <w:rsid w:val="008A6E6D"/>
    <w:rsid w:val="008B3B6C"/>
    <w:rsid w:val="008B3D4A"/>
    <w:rsid w:val="008C1345"/>
    <w:rsid w:val="008D5013"/>
    <w:rsid w:val="008F4784"/>
    <w:rsid w:val="008F4A38"/>
    <w:rsid w:val="008F5AC0"/>
    <w:rsid w:val="00904157"/>
    <w:rsid w:val="009064FE"/>
    <w:rsid w:val="00923BF3"/>
    <w:rsid w:val="009368A9"/>
    <w:rsid w:val="00996E09"/>
    <w:rsid w:val="009A1324"/>
    <w:rsid w:val="009C1AE0"/>
    <w:rsid w:val="009C22B5"/>
    <w:rsid w:val="009C7FC3"/>
    <w:rsid w:val="009E1A8C"/>
    <w:rsid w:val="009E5784"/>
    <w:rsid w:val="009F6CB0"/>
    <w:rsid w:val="009F70E3"/>
    <w:rsid w:val="00A0375B"/>
    <w:rsid w:val="00A10CC8"/>
    <w:rsid w:val="00A209E5"/>
    <w:rsid w:val="00A53541"/>
    <w:rsid w:val="00A74A81"/>
    <w:rsid w:val="00AA6E93"/>
    <w:rsid w:val="00AC0666"/>
    <w:rsid w:val="00AF618B"/>
    <w:rsid w:val="00AF6CF9"/>
    <w:rsid w:val="00AF72D2"/>
    <w:rsid w:val="00B073CC"/>
    <w:rsid w:val="00B13E40"/>
    <w:rsid w:val="00B250A2"/>
    <w:rsid w:val="00B25E6E"/>
    <w:rsid w:val="00B279CE"/>
    <w:rsid w:val="00B30E3F"/>
    <w:rsid w:val="00B736E0"/>
    <w:rsid w:val="00B74EC7"/>
    <w:rsid w:val="00B81899"/>
    <w:rsid w:val="00B92C18"/>
    <w:rsid w:val="00BC617E"/>
    <w:rsid w:val="00BC6204"/>
    <w:rsid w:val="00BE3B08"/>
    <w:rsid w:val="00BF54E5"/>
    <w:rsid w:val="00C12A63"/>
    <w:rsid w:val="00C15E7B"/>
    <w:rsid w:val="00C24838"/>
    <w:rsid w:val="00C7284B"/>
    <w:rsid w:val="00C860D5"/>
    <w:rsid w:val="00C93CFB"/>
    <w:rsid w:val="00C9784F"/>
    <w:rsid w:val="00CE2411"/>
    <w:rsid w:val="00CF0F27"/>
    <w:rsid w:val="00CF61C6"/>
    <w:rsid w:val="00D10FDB"/>
    <w:rsid w:val="00D15BD6"/>
    <w:rsid w:val="00D257C5"/>
    <w:rsid w:val="00D4610B"/>
    <w:rsid w:val="00D46FFB"/>
    <w:rsid w:val="00D612C4"/>
    <w:rsid w:val="00D84873"/>
    <w:rsid w:val="00DA4E93"/>
    <w:rsid w:val="00DA6268"/>
    <w:rsid w:val="00DD111D"/>
    <w:rsid w:val="00DE6C39"/>
    <w:rsid w:val="00E0143A"/>
    <w:rsid w:val="00E11661"/>
    <w:rsid w:val="00E20EB8"/>
    <w:rsid w:val="00E67295"/>
    <w:rsid w:val="00E7095C"/>
    <w:rsid w:val="00EA336C"/>
    <w:rsid w:val="00EB22CB"/>
    <w:rsid w:val="00EC2275"/>
    <w:rsid w:val="00ED67EE"/>
    <w:rsid w:val="00EE3007"/>
    <w:rsid w:val="00F1545D"/>
    <w:rsid w:val="00F37A9F"/>
    <w:rsid w:val="00F569F6"/>
    <w:rsid w:val="00F829D7"/>
    <w:rsid w:val="00F86DD5"/>
    <w:rsid w:val="00FA009C"/>
    <w:rsid w:val="00FA273A"/>
    <w:rsid w:val="00FC04CA"/>
    <w:rsid w:val="00FD5379"/>
    <w:rsid w:val="00FE3A65"/>
    <w:rsid w:val="00FE5AE6"/>
    <w:rsid w:val="00FF5469"/>
    <w:rsid w:val="20880D36"/>
    <w:rsid w:val="33E42957"/>
    <w:rsid w:val="639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2E775"/>
  <w15:docId w15:val="{977D195C-972C-4640-8040-17D281E7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qFormat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958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DEL TESORIERE</vt:lpstr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DEL TESORIERE</dc:title>
  <dc:creator>paolo</dc:creator>
  <cp:lastModifiedBy>Organismo di Mediazione dell'Ordine degli Avvocati di Modena - Sala 2</cp:lastModifiedBy>
  <cp:revision>12</cp:revision>
  <cp:lastPrinted>2024-04-23T07:16:00Z</cp:lastPrinted>
  <dcterms:created xsi:type="dcterms:W3CDTF">2024-04-22T06:12:00Z</dcterms:created>
  <dcterms:modified xsi:type="dcterms:W3CDTF">2025-04-28T09:58:00Z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671053A48F924AACACAC91F72DCB852B</vt:lpwstr>
  </property>
</Properties>
</file>