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BC0C" w14:textId="40FD8BD0" w:rsidR="000F175B" w:rsidRPr="000F175B" w:rsidRDefault="00A135BE" w:rsidP="000F175B">
      <w:r>
        <w:t>Gentilissime</w:t>
      </w:r>
      <w:r w:rsidR="000F175B" w:rsidRPr="000F175B">
        <w:t xml:space="preserve"> Colleghe, Pregiati Colleghi,</w:t>
      </w:r>
      <w:r w:rsidR="000F175B" w:rsidRPr="000F175B">
        <w:br/>
        <w:t>l’Assemblea degli Iscritti convocata per il giorno 21 aprile 2026 è chiamata ad esaminare e ad approvare il Rendiconto generale della gestione dell’esercizio 2025 e il preventivo dell’esercizio 2026.</w:t>
      </w:r>
    </w:p>
    <w:p w14:paraId="3935E277" w14:textId="1B45F7B4" w:rsidR="000F175B" w:rsidRPr="000F175B" w:rsidRDefault="000F175B" w:rsidP="000F175B">
      <w:r w:rsidRPr="000F175B">
        <w:rPr>
          <w:b/>
          <w:bCs/>
        </w:rPr>
        <w:t>CONTO DEL BILANCIO</w:t>
      </w:r>
      <w:r w:rsidRPr="000F175B">
        <w:br/>
        <w:t>Il rendiconto relativo al 2025 è stato predisposto in ottemperanza al regolamento di amministrazione e contabilità adottato dal Consiglio dell’Ordine di Modena.</w:t>
      </w:r>
      <w:r w:rsidRPr="000F175B">
        <w:br/>
        <w:t xml:space="preserve">Il rendiconto in esame è predisposto </w:t>
      </w:r>
      <w:r w:rsidR="00A135BE">
        <w:t>secondo il</w:t>
      </w:r>
      <w:r w:rsidRPr="000F175B">
        <w:t xml:space="preserve"> principio della </w:t>
      </w:r>
      <w:r w:rsidRPr="000F175B">
        <w:rPr>
          <w:b/>
          <w:bCs/>
        </w:rPr>
        <w:t>“competenza finanziaria”</w:t>
      </w:r>
      <w:r w:rsidRPr="000F175B">
        <w:t>.</w:t>
      </w:r>
      <w:r w:rsidRPr="000F175B">
        <w:br/>
        <w:t xml:space="preserve">Il rendiconto finanziario, così come predisposto, da un lato evidenzia entrate e spese di competenza finanziaria 2025, dall’altro, tramite la gestione dei residui attivi e passivi, </w:t>
      </w:r>
      <w:r w:rsidRPr="000F175B">
        <w:rPr>
          <w:b/>
          <w:bCs/>
        </w:rPr>
        <w:t>evidenzia i flussi effettivi di disponibilità finanziaria</w:t>
      </w:r>
      <w:r w:rsidRPr="000F175B">
        <w:t>.</w:t>
      </w:r>
    </w:p>
    <w:p w14:paraId="633DBB5B" w14:textId="77777777" w:rsidR="000F175B" w:rsidRPr="000F175B" w:rsidRDefault="000F175B" w:rsidP="000F175B">
      <w:r w:rsidRPr="000F175B">
        <w:t xml:space="preserve">Il rendiconto generale chiuso al </w:t>
      </w:r>
      <w:r w:rsidRPr="000F175B">
        <w:rPr>
          <w:b/>
          <w:bCs/>
        </w:rPr>
        <w:t>31.12.2025</w:t>
      </w:r>
      <w:r w:rsidRPr="000F175B">
        <w:t xml:space="preserve"> si compone dei seguenti documenti:</w:t>
      </w:r>
    </w:p>
    <w:p w14:paraId="524980E0" w14:textId="77777777" w:rsidR="000F175B" w:rsidRPr="000F175B" w:rsidRDefault="000F175B" w:rsidP="000F175B">
      <w:pPr>
        <w:numPr>
          <w:ilvl w:val="0"/>
          <w:numId w:val="1"/>
        </w:numPr>
      </w:pPr>
      <w:r w:rsidRPr="000F175B">
        <w:t xml:space="preserve">Conto del bilancio (Rendiconto finanziario); </w:t>
      </w:r>
    </w:p>
    <w:p w14:paraId="68E20403" w14:textId="77777777" w:rsidR="000F175B" w:rsidRPr="000F175B" w:rsidRDefault="000F175B" w:rsidP="000F175B">
      <w:pPr>
        <w:numPr>
          <w:ilvl w:val="0"/>
          <w:numId w:val="1"/>
        </w:numPr>
      </w:pPr>
      <w:r w:rsidRPr="000F175B">
        <w:t xml:space="preserve">Conto economico in forma abbreviata; </w:t>
      </w:r>
    </w:p>
    <w:p w14:paraId="41C0E3D8" w14:textId="77777777" w:rsidR="000F175B" w:rsidRPr="000F175B" w:rsidRDefault="000F175B" w:rsidP="000F175B">
      <w:pPr>
        <w:numPr>
          <w:ilvl w:val="0"/>
          <w:numId w:val="1"/>
        </w:numPr>
      </w:pPr>
      <w:r w:rsidRPr="000F175B">
        <w:t xml:space="preserve">Stato patrimoniale in forma abbreviata; </w:t>
      </w:r>
    </w:p>
    <w:p w14:paraId="1FF1BFDF" w14:textId="77777777" w:rsidR="000F175B" w:rsidRPr="000F175B" w:rsidRDefault="000F175B" w:rsidP="000F175B">
      <w:pPr>
        <w:numPr>
          <w:ilvl w:val="0"/>
          <w:numId w:val="1"/>
        </w:numPr>
      </w:pPr>
      <w:r w:rsidRPr="000F175B">
        <w:t xml:space="preserve">Nota integrativa in forma abbreviata. </w:t>
      </w:r>
    </w:p>
    <w:p w14:paraId="185A7ECB" w14:textId="77777777" w:rsidR="000F175B" w:rsidRPr="000F175B" w:rsidRDefault="000F175B" w:rsidP="000F175B">
      <w:r w:rsidRPr="000F175B">
        <w:t>Inoltre, sono allegati al rendiconto generale:</w:t>
      </w:r>
    </w:p>
    <w:p w14:paraId="62BEEEBC" w14:textId="77777777" w:rsidR="000F175B" w:rsidRPr="000F175B" w:rsidRDefault="000F175B" w:rsidP="000F175B">
      <w:pPr>
        <w:numPr>
          <w:ilvl w:val="0"/>
          <w:numId w:val="2"/>
        </w:numPr>
      </w:pPr>
      <w:r w:rsidRPr="000F175B">
        <w:t xml:space="preserve">la situazione amministrativa; </w:t>
      </w:r>
    </w:p>
    <w:p w14:paraId="51D99CF4" w14:textId="77777777" w:rsidR="000F175B" w:rsidRPr="000F175B" w:rsidRDefault="000F175B" w:rsidP="000F175B">
      <w:pPr>
        <w:numPr>
          <w:ilvl w:val="0"/>
          <w:numId w:val="2"/>
        </w:numPr>
      </w:pPr>
      <w:r w:rsidRPr="000F175B">
        <w:t xml:space="preserve">la relazione del revisore dei conti. </w:t>
      </w:r>
    </w:p>
    <w:p w14:paraId="246723BE" w14:textId="77777777" w:rsidR="000F175B" w:rsidRPr="000F175B" w:rsidRDefault="000F175B" w:rsidP="000F175B">
      <w:r w:rsidRPr="000F175B">
        <w:t xml:space="preserve">Il 2025 si chiude con un avanzo di amministrazione per la parte corrente pari </w:t>
      </w:r>
      <w:r w:rsidRPr="000F175B">
        <w:rPr>
          <w:b/>
          <w:bCs/>
        </w:rPr>
        <w:t>a € 67.617,81</w:t>
      </w:r>
      <w:r w:rsidRPr="000F175B">
        <w:t xml:space="preserve">, dovuto alla differenza tra le entrate correnti pari a </w:t>
      </w:r>
      <w:r w:rsidRPr="000F175B">
        <w:rPr>
          <w:b/>
          <w:bCs/>
        </w:rPr>
        <w:t>€ 1.453.092,41</w:t>
      </w:r>
      <w:r w:rsidRPr="000F175B">
        <w:t xml:space="preserve"> e le uscite correnti pari a </w:t>
      </w:r>
      <w:r w:rsidRPr="000F175B">
        <w:rPr>
          <w:b/>
          <w:bCs/>
        </w:rPr>
        <w:t>€ 1.385.474,60</w:t>
      </w:r>
      <w:r w:rsidRPr="000F175B">
        <w:t>.</w:t>
      </w:r>
    </w:p>
    <w:p w14:paraId="23D30778" w14:textId="4AAB6745" w:rsidR="000F175B" w:rsidRPr="000F175B" w:rsidRDefault="000F175B" w:rsidP="000F175B">
      <w:r w:rsidRPr="000F175B">
        <w:t xml:space="preserve">Addentrandoci nelle entrate, rispetto al preventivo, il totale delle </w:t>
      </w:r>
      <w:r w:rsidRPr="000F175B">
        <w:rPr>
          <w:b/>
          <w:bCs/>
        </w:rPr>
        <w:t>entrate contributive</w:t>
      </w:r>
      <w:r w:rsidRPr="000F175B">
        <w:t xml:space="preserve"> a carico degli iscritti è pari a </w:t>
      </w:r>
      <w:r w:rsidRPr="000F175B">
        <w:rPr>
          <w:b/>
          <w:bCs/>
        </w:rPr>
        <w:t>€ 563.590</w:t>
      </w:r>
      <w:r w:rsidRPr="000F175B">
        <w:t>, evidenziando un leggero scostamento negativo</w:t>
      </w:r>
      <w:r w:rsidR="00A135BE">
        <w:t xml:space="preserve">, per </w:t>
      </w:r>
      <w:r w:rsidR="00A135BE" w:rsidRPr="000F175B">
        <w:rPr>
          <w:b/>
          <w:bCs/>
        </w:rPr>
        <w:t>€ 7.600</w:t>
      </w:r>
      <w:r w:rsidR="00A135BE">
        <w:rPr>
          <w:b/>
          <w:bCs/>
        </w:rPr>
        <w:t>,</w:t>
      </w:r>
      <w:r w:rsidRPr="000F175B">
        <w:t xml:space="preserve"> rispetto alla previsione originaria. Il calo è dovuto all’eliminazione del contributo una tantum all’atto delle iscrizioni. Il numero degli iscritti </w:t>
      </w:r>
      <w:r w:rsidR="00E700D0">
        <w:t xml:space="preserve">(1902 avvocati, di cui 642 cassazionisti, 182 praticanti) </w:t>
      </w:r>
      <w:r w:rsidRPr="000F175B">
        <w:t>è sostanzialmente invariato.</w:t>
      </w:r>
    </w:p>
    <w:p w14:paraId="71D23918" w14:textId="73C3285B" w:rsidR="000F175B" w:rsidRPr="000F175B" w:rsidRDefault="00E700D0" w:rsidP="000F175B">
      <w:r>
        <w:rPr>
          <w:b/>
          <w:bCs/>
        </w:rPr>
        <w:t>In linea</w:t>
      </w:r>
      <w:r w:rsidR="000F175B" w:rsidRPr="000F175B">
        <w:t xml:space="preserve"> l’entrata per i depositi e gli opinamenti delle parcelle rispetto a quanto preventivato: l’accertato è stato pari a </w:t>
      </w:r>
      <w:r w:rsidR="000F175B" w:rsidRPr="000F175B">
        <w:rPr>
          <w:b/>
          <w:bCs/>
        </w:rPr>
        <w:t>€ 10.917,50</w:t>
      </w:r>
      <w:r w:rsidR="000F175B" w:rsidRPr="000F175B">
        <w:t xml:space="preserve"> contro i </w:t>
      </w:r>
      <w:r w:rsidR="000F175B" w:rsidRPr="000F175B">
        <w:rPr>
          <w:b/>
          <w:bCs/>
        </w:rPr>
        <w:t>€ 12.000</w:t>
      </w:r>
      <w:r w:rsidR="000F175B" w:rsidRPr="000F175B">
        <w:t xml:space="preserve"> previsti.</w:t>
      </w:r>
    </w:p>
    <w:p w14:paraId="28E537E5" w14:textId="267082DB" w:rsidR="000F175B" w:rsidRPr="000F175B" w:rsidRDefault="000F175B" w:rsidP="000F175B">
      <w:r w:rsidRPr="000F175B">
        <w:t xml:space="preserve">Il totale accertato delle entrate derivanti dall’attività commerciale dell’Organismo di Mediazione è pari </w:t>
      </w:r>
      <w:r w:rsidRPr="000F175B">
        <w:rPr>
          <w:b/>
          <w:bCs/>
        </w:rPr>
        <w:t>a € 762.714,72</w:t>
      </w:r>
      <w:r w:rsidRPr="000F175B">
        <w:t xml:space="preserve">, dato decisamente superiore alle attese, con un incremento di oltre </w:t>
      </w:r>
      <w:r w:rsidRPr="000F175B">
        <w:rPr>
          <w:b/>
          <w:bCs/>
        </w:rPr>
        <w:t>€ 173.000</w:t>
      </w:r>
      <w:r w:rsidR="00A135BE">
        <w:t xml:space="preserve"> rispetto alla previsione.</w:t>
      </w:r>
    </w:p>
    <w:p w14:paraId="7C9E0E80" w14:textId="6587F107" w:rsidR="000F175B" w:rsidRPr="000F175B" w:rsidRDefault="000F175B" w:rsidP="000F175B">
      <w:r w:rsidRPr="000F175B">
        <w:t xml:space="preserve">Nel corso del 2025 è aumentata l’attività dell’Organismo di composizione della crisi, che ha realizzato entrate per </w:t>
      </w:r>
      <w:r w:rsidRPr="000F175B">
        <w:rPr>
          <w:b/>
          <w:bCs/>
        </w:rPr>
        <w:t>€ 86.421,67</w:t>
      </w:r>
      <w:r w:rsidRPr="000F175B">
        <w:t xml:space="preserve">, superiori rispetto ai </w:t>
      </w:r>
      <w:r w:rsidRPr="000F175B">
        <w:rPr>
          <w:b/>
          <w:bCs/>
        </w:rPr>
        <w:t>€ 75.000</w:t>
      </w:r>
      <w:r w:rsidRPr="000F175B">
        <w:t xml:space="preserve"> inseriti nel preventivo.</w:t>
      </w:r>
    </w:p>
    <w:p w14:paraId="569F3B2F" w14:textId="692C74BB" w:rsidR="000F175B" w:rsidRPr="000F175B" w:rsidRDefault="000F175B" w:rsidP="000F175B">
      <w:r w:rsidRPr="000F175B">
        <w:rPr>
          <w:b/>
          <w:bCs/>
        </w:rPr>
        <w:t>USCITE</w:t>
      </w:r>
      <w:r w:rsidRPr="000F175B">
        <w:br/>
      </w:r>
      <w:r w:rsidR="00A135BE">
        <w:t>L</w:t>
      </w:r>
      <w:r w:rsidRPr="000F175B">
        <w:t xml:space="preserve">e uscite </w:t>
      </w:r>
      <w:r w:rsidR="00A135BE">
        <w:t>relative</w:t>
      </w:r>
      <w:r w:rsidRPr="000F175B">
        <w:t xml:space="preserve"> </w:t>
      </w:r>
      <w:r w:rsidR="00A135BE">
        <w:t>a</w:t>
      </w:r>
      <w:r w:rsidRPr="000F175B">
        <w:t>gli organi dell’ente, si evidenzia che ai consiglieri è attribuito esclusivamente il rimborso delle spese documentate di trasferta e non sono previsti gettoni di presenza, compensi o altre indennità di alcun tipo.</w:t>
      </w:r>
    </w:p>
    <w:p w14:paraId="35AE6F7D" w14:textId="15004C08" w:rsidR="000F175B" w:rsidRPr="000F175B" w:rsidRDefault="00E700D0" w:rsidP="000F175B">
      <w:r>
        <w:t xml:space="preserve">Il costo </w:t>
      </w:r>
      <w:r w:rsidR="000F175B" w:rsidRPr="000F175B">
        <w:t xml:space="preserve">per il funzionamento degli uffici </w:t>
      </w:r>
      <w:r>
        <w:t xml:space="preserve">delle segreterie </w:t>
      </w:r>
      <w:r w:rsidR="000914A9" w:rsidRPr="000F175B">
        <w:t>è stato complessivamente</w:t>
      </w:r>
      <w:r w:rsidR="000F175B" w:rsidRPr="000F175B">
        <w:t xml:space="preserve"> in linea con le previsioni.</w:t>
      </w:r>
    </w:p>
    <w:p w14:paraId="7FF7DA16" w14:textId="72A962D1" w:rsidR="000F175B" w:rsidRPr="000F175B" w:rsidRDefault="000F175B" w:rsidP="000F175B">
      <w:r w:rsidRPr="000F175B">
        <w:lastRenderedPageBreak/>
        <w:t>Rispetto alle previsioni iniziali è aumentata la spesa per i software dell’OCC, in considerazione dell’incremento delle pratiche</w:t>
      </w:r>
      <w:r w:rsidR="00A135BE">
        <w:t xml:space="preserve">; </w:t>
      </w:r>
      <w:r w:rsidR="00A135BE">
        <w:rPr>
          <w:b/>
          <w:bCs/>
        </w:rPr>
        <w:t>spesa i</w:t>
      </w:r>
      <w:r w:rsidRPr="000F175B">
        <w:rPr>
          <w:b/>
          <w:bCs/>
        </w:rPr>
        <w:t>nteramente coperta dagli introiti dell’Organismo stesso</w:t>
      </w:r>
      <w:r w:rsidRPr="000F175B">
        <w:t>.</w:t>
      </w:r>
    </w:p>
    <w:p w14:paraId="6276695D" w14:textId="46D939AC" w:rsidR="000F175B" w:rsidRPr="000F175B" w:rsidRDefault="000F175B" w:rsidP="000F175B">
      <w:r w:rsidRPr="000F175B">
        <w:t xml:space="preserve">Per quanto riguarda il personale, la dotazione organica è stata </w:t>
      </w:r>
      <w:r w:rsidR="00A135BE">
        <w:t>di</w:t>
      </w:r>
      <w:r w:rsidRPr="000F175B">
        <w:t xml:space="preserve"> 5 unità per l’intero anno; </w:t>
      </w:r>
      <w:r w:rsidR="00A135BE">
        <w:t>nel 2024, invece, il numero dei dipendenti è stato di 4 unità fino al mese di maggio</w:t>
      </w:r>
      <w:r w:rsidRPr="000F175B">
        <w:t xml:space="preserve">. </w:t>
      </w:r>
    </w:p>
    <w:p w14:paraId="73B4F9DC" w14:textId="283964E0" w:rsidR="000F175B" w:rsidRPr="000F175B" w:rsidRDefault="00A135BE" w:rsidP="000F175B">
      <w:r>
        <w:t>Sono</w:t>
      </w:r>
      <w:r w:rsidR="000F175B" w:rsidRPr="000F175B">
        <w:t xml:space="preserve"> aument</w:t>
      </w:r>
      <w:r>
        <w:t>ate</w:t>
      </w:r>
      <w:r w:rsidR="000F175B" w:rsidRPr="000F175B">
        <w:t xml:space="preserve">, in considerazione delle </w:t>
      </w:r>
      <w:r>
        <w:t xml:space="preserve">maggiori </w:t>
      </w:r>
      <w:r w:rsidR="000F175B" w:rsidRPr="000F175B">
        <w:t>entrate, le spese legate ai compensi ai mediatori e ai gestori OCC.</w:t>
      </w:r>
    </w:p>
    <w:p w14:paraId="00E26E67" w14:textId="77777777" w:rsidR="000F175B" w:rsidRPr="000F175B" w:rsidRDefault="000F175B" w:rsidP="000F175B">
      <w:r w:rsidRPr="000F175B">
        <w:t>Il fondo di riserva è stato costituito ai sensi dell’art. 13 del regolamento di amministrazione e contabilità e può essere utilizzato per le spese eccedenti la capienza dei vari capitoli di spesa rispetto alle previsioni iniziali.</w:t>
      </w:r>
    </w:p>
    <w:p w14:paraId="09B2141A" w14:textId="7F490703" w:rsidR="000F175B" w:rsidRPr="000F175B" w:rsidRDefault="000F175B" w:rsidP="000F175B">
      <w:r w:rsidRPr="000F175B">
        <w:t xml:space="preserve">In merito alla gestione non corrente, </w:t>
      </w:r>
      <w:r w:rsidR="00A135BE">
        <w:t>sono state utilizzate somme derivante dall’avanzo di amministrazione per complessivi</w:t>
      </w:r>
      <w:r w:rsidRPr="000F175B">
        <w:t xml:space="preserve"> </w:t>
      </w:r>
      <w:r w:rsidRPr="000F175B">
        <w:rPr>
          <w:b/>
          <w:bCs/>
        </w:rPr>
        <w:t>€ 48.412,70</w:t>
      </w:r>
      <w:r w:rsidRPr="000F175B">
        <w:t>.</w:t>
      </w:r>
    </w:p>
    <w:p w14:paraId="0FB9E325" w14:textId="77777777" w:rsidR="000F175B" w:rsidRPr="000F175B" w:rsidRDefault="000F175B" w:rsidP="000F175B">
      <w:r w:rsidRPr="000F175B">
        <w:t>Nel corso del 2025 sono stati acquistati personal computer per la sede della mediazione e sono stati rifatti gli impianti antincendio e antintrusione della sede.</w:t>
      </w:r>
    </w:p>
    <w:p w14:paraId="0334E210" w14:textId="77777777" w:rsidR="00A135BE" w:rsidRDefault="000F175B" w:rsidP="000F175B">
      <w:r w:rsidRPr="000F175B">
        <w:t xml:space="preserve">Per quanto riguarda la gestione dei titoli, si registra una rivalutazione del portafoglio pari a </w:t>
      </w:r>
      <w:r w:rsidRPr="000F175B">
        <w:rPr>
          <w:b/>
          <w:bCs/>
        </w:rPr>
        <w:t>€ 29.408,79</w:t>
      </w:r>
      <w:r w:rsidRPr="000F175B">
        <w:t xml:space="preserve">. </w:t>
      </w:r>
    </w:p>
    <w:p w14:paraId="694BBC2C" w14:textId="6302353F" w:rsidR="000F175B" w:rsidRPr="000F175B" w:rsidRDefault="000F175B" w:rsidP="000F175B">
      <w:r w:rsidRPr="000F175B">
        <w:t xml:space="preserve">La gestione ordinaria dei residui attivi e passivi </w:t>
      </w:r>
      <w:r w:rsidR="00A135BE">
        <w:t>ha determinato</w:t>
      </w:r>
      <w:r w:rsidRPr="000F175B">
        <w:t xml:space="preserve"> un aumento dell’avanzo di amministrazione pari a </w:t>
      </w:r>
      <w:r w:rsidRPr="000F175B">
        <w:rPr>
          <w:b/>
          <w:bCs/>
        </w:rPr>
        <w:t>€ 11.849,25</w:t>
      </w:r>
      <w:r w:rsidRPr="000F175B">
        <w:t>.</w:t>
      </w:r>
    </w:p>
    <w:p w14:paraId="197ECF3F" w14:textId="1BCB0A86" w:rsidR="000F175B" w:rsidRPr="000F175B" w:rsidRDefault="000F175B" w:rsidP="000F175B">
      <w:r w:rsidRPr="000F175B">
        <w:rPr>
          <w:b/>
          <w:bCs/>
        </w:rPr>
        <w:t>SITUAZIONE AMMINISTRATIVA</w:t>
      </w:r>
      <w:r w:rsidRPr="000F175B">
        <w:br/>
        <w:t>La situazione amministrativa evidenzia la formazione dell’avanzo di amministrazione dell’esercizio.</w:t>
      </w:r>
    </w:p>
    <w:p w14:paraId="52DB1A2F" w14:textId="02848398" w:rsidR="000F175B" w:rsidRPr="000F175B" w:rsidRDefault="00E700D0" w:rsidP="000F175B">
      <w:r>
        <w:t>L</w:t>
      </w:r>
      <w:r w:rsidR="000F175B" w:rsidRPr="000F175B">
        <w:t>’avanzo di amministrazione</w:t>
      </w:r>
      <w:r w:rsidR="00A135BE">
        <w:t xml:space="preserve">, derivante dagli esercizi precedenti e dall’esercizio 2025, </w:t>
      </w:r>
      <w:r w:rsidR="000F175B" w:rsidRPr="000F175B">
        <w:t xml:space="preserve">ammonta a </w:t>
      </w:r>
      <w:r w:rsidR="000F175B" w:rsidRPr="000F175B">
        <w:rPr>
          <w:b/>
          <w:bCs/>
        </w:rPr>
        <w:t>€ 650.617,62</w:t>
      </w:r>
      <w:r w:rsidR="000F175B" w:rsidRPr="000F175B">
        <w:t>.</w:t>
      </w:r>
    </w:p>
    <w:p w14:paraId="3A886AEB" w14:textId="77777777" w:rsidR="000F175B" w:rsidRPr="000F175B" w:rsidRDefault="000F175B" w:rsidP="000F175B">
      <w:r w:rsidRPr="000F175B">
        <w:t>La composizione dell’avanzo di amministrazione è la seguente:</w:t>
      </w:r>
    </w:p>
    <w:p w14:paraId="1E7A9E27" w14:textId="77777777" w:rsidR="000F175B" w:rsidRPr="000F175B" w:rsidRDefault="000F175B" w:rsidP="000F175B">
      <w:pPr>
        <w:numPr>
          <w:ilvl w:val="0"/>
          <w:numId w:val="3"/>
        </w:numPr>
      </w:pPr>
      <w:r w:rsidRPr="000F175B">
        <w:t xml:space="preserve">Parte vincolata al trattamento di fine rapporto: </w:t>
      </w:r>
      <w:r w:rsidRPr="000F175B">
        <w:rPr>
          <w:b/>
          <w:bCs/>
        </w:rPr>
        <w:t>€ 40.758,59</w:t>
      </w:r>
      <w:r w:rsidRPr="000F175B">
        <w:t xml:space="preserve"> </w:t>
      </w:r>
    </w:p>
    <w:p w14:paraId="6111FD68" w14:textId="77777777" w:rsidR="000F175B" w:rsidRPr="000F175B" w:rsidRDefault="000F175B" w:rsidP="000F175B">
      <w:pPr>
        <w:numPr>
          <w:ilvl w:val="0"/>
          <w:numId w:val="3"/>
        </w:numPr>
      </w:pPr>
      <w:r w:rsidRPr="000F175B">
        <w:t xml:space="preserve">Parte vincolata al fondo per imposte: </w:t>
      </w:r>
      <w:r w:rsidRPr="000F175B">
        <w:rPr>
          <w:b/>
          <w:bCs/>
        </w:rPr>
        <w:t>€ 32.063</w:t>
      </w:r>
      <w:r w:rsidRPr="000F175B">
        <w:t xml:space="preserve"> </w:t>
      </w:r>
    </w:p>
    <w:p w14:paraId="0A336450" w14:textId="77777777" w:rsidR="000F175B" w:rsidRPr="000F175B" w:rsidRDefault="000F175B" w:rsidP="000F175B">
      <w:pPr>
        <w:numPr>
          <w:ilvl w:val="0"/>
          <w:numId w:val="3"/>
        </w:numPr>
      </w:pPr>
      <w:r w:rsidRPr="000F175B">
        <w:t xml:space="preserve">Parte disponibile: </w:t>
      </w:r>
      <w:r w:rsidRPr="000F175B">
        <w:rPr>
          <w:b/>
          <w:bCs/>
        </w:rPr>
        <w:t>€ 577.796,03</w:t>
      </w:r>
      <w:r w:rsidRPr="000F175B">
        <w:t xml:space="preserve"> </w:t>
      </w:r>
    </w:p>
    <w:p w14:paraId="709C0942" w14:textId="77777777" w:rsidR="000F175B" w:rsidRPr="000F175B" w:rsidRDefault="000F175B" w:rsidP="000F175B">
      <w:r w:rsidRPr="000F175B">
        <w:rPr>
          <w:b/>
          <w:bCs/>
        </w:rPr>
        <w:t>PREVENTIVO 2026</w:t>
      </w:r>
      <w:r w:rsidRPr="000F175B">
        <w:br/>
        <w:t>Il preventivo 2026 si compone dei seguenti documenti:</w:t>
      </w:r>
    </w:p>
    <w:p w14:paraId="2D1C0BA9" w14:textId="77777777" w:rsidR="000F175B" w:rsidRPr="000F175B" w:rsidRDefault="000F175B" w:rsidP="000F175B">
      <w:pPr>
        <w:numPr>
          <w:ilvl w:val="0"/>
          <w:numId w:val="4"/>
        </w:numPr>
      </w:pPr>
      <w:r w:rsidRPr="000F175B">
        <w:t xml:space="preserve">preventivo finanziario; </w:t>
      </w:r>
    </w:p>
    <w:p w14:paraId="27F80E6A" w14:textId="77777777" w:rsidR="000F175B" w:rsidRPr="000F175B" w:rsidRDefault="000F175B" w:rsidP="000F175B">
      <w:pPr>
        <w:numPr>
          <w:ilvl w:val="0"/>
          <w:numId w:val="4"/>
        </w:numPr>
      </w:pPr>
      <w:r w:rsidRPr="000F175B">
        <w:t xml:space="preserve">quadro generale riassuntivo della gestione finanziaria; </w:t>
      </w:r>
    </w:p>
    <w:p w14:paraId="724DBEF0" w14:textId="77777777" w:rsidR="000F175B" w:rsidRPr="000F175B" w:rsidRDefault="000F175B" w:rsidP="000F175B">
      <w:pPr>
        <w:numPr>
          <w:ilvl w:val="0"/>
          <w:numId w:val="4"/>
        </w:numPr>
      </w:pPr>
      <w:r w:rsidRPr="000F175B">
        <w:t xml:space="preserve">preventivo economico. </w:t>
      </w:r>
    </w:p>
    <w:p w14:paraId="2BA2F380" w14:textId="77777777" w:rsidR="000F175B" w:rsidRPr="000F175B" w:rsidRDefault="000F175B" w:rsidP="000F175B">
      <w:r w:rsidRPr="000F175B">
        <w:t>Inoltre, sono allegati al bilancio di previsione:</w:t>
      </w:r>
    </w:p>
    <w:p w14:paraId="25644826" w14:textId="77777777" w:rsidR="000F175B" w:rsidRPr="000F175B" w:rsidRDefault="000F175B" w:rsidP="000F175B">
      <w:pPr>
        <w:numPr>
          <w:ilvl w:val="0"/>
          <w:numId w:val="5"/>
        </w:numPr>
      </w:pPr>
      <w:r w:rsidRPr="000F175B">
        <w:t xml:space="preserve">la tabella dimostrativa del presunto risultato di amministrazione; </w:t>
      </w:r>
    </w:p>
    <w:p w14:paraId="13309AB2" w14:textId="77777777" w:rsidR="000F175B" w:rsidRPr="000F175B" w:rsidRDefault="000F175B" w:rsidP="000F175B">
      <w:pPr>
        <w:numPr>
          <w:ilvl w:val="0"/>
          <w:numId w:val="5"/>
        </w:numPr>
      </w:pPr>
      <w:r w:rsidRPr="000F175B">
        <w:t xml:space="preserve">la relazione del revisore dei conti. </w:t>
      </w:r>
    </w:p>
    <w:p w14:paraId="4AAB5DAE" w14:textId="77777777" w:rsidR="000F175B" w:rsidRPr="000F175B" w:rsidRDefault="000F175B" w:rsidP="000F175B">
      <w:r w:rsidRPr="000F175B">
        <w:t>Il preventivo 2026 è stato redatto sulla base del rendiconto 2025.</w:t>
      </w:r>
    </w:p>
    <w:p w14:paraId="2B35ACD6" w14:textId="6987A979" w:rsidR="000F175B" w:rsidRPr="000F175B" w:rsidRDefault="000F175B" w:rsidP="000F175B">
      <w:r w:rsidRPr="000F175B">
        <w:t xml:space="preserve">Per quanto riguarda l’attività istituzionale, prevediamo di incassare </w:t>
      </w:r>
      <w:r w:rsidRPr="000F175B">
        <w:rPr>
          <w:b/>
          <w:bCs/>
        </w:rPr>
        <w:t>€ 555.220</w:t>
      </w:r>
      <w:r w:rsidRPr="000F175B">
        <w:t xml:space="preserve"> di tasse annuali. </w:t>
      </w:r>
      <w:r>
        <w:t xml:space="preserve">Il dato, inferiore al rendiconto 2025, non tiene conto delle nuove iscrizioni che avverranno durante l’anno. </w:t>
      </w:r>
      <w:r w:rsidRPr="000F175B">
        <w:t xml:space="preserve">Per l’attività di mediazione prevediamo incassi pari a </w:t>
      </w:r>
      <w:r w:rsidRPr="000F175B">
        <w:rPr>
          <w:b/>
          <w:bCs/>
        </w:rPr>
        <w:t>€ 628.000</w:t>
      </w:r>
      <w:r w:rsidRPr="000F175B">
        <w:t xml:space="preserve">, dato prudenziale rispetto agli incassi 2025. Per l’attività dell’OCC prevediamo incassi pari a </w:t>
      </w:r>
      <w:r w:rsidRPr="000F175B">
        <w:rPr>
          <w:b/>
          <w:bCs/>
        </w:rPr>
        <w:t>€ 84.500</w:t>
      </w:r>
      <w:r w:rsidRPr="000F175B">
        <w:t>, in linea con il 2025.</w:t>
      </w:r>
    </w:p>
    <w:p w14:paraId="4534524D" w14:textId="77777777" w:rsidR="000F175B" w:rsidRPr="000F175B" w:rsidRDefault="000F175B" w:rsidP="000F175B">
      <w:r w:rsidRPr="000F175B">
        <w:lastRenderedPageBreak/>
        <w:t xml:space="preserve">Il totale delle entrate correnti previste è pari a </w:t>
      </w:r>
      <w:r w:rsidRPr="000F175B">
        <w:rPr>
          <w:b/>
          <w:bCs/>
        </w:rPr>
        <w:t>€ 1.309.795,00</w:t>
      </w:r>
      <w:r w:rsidRPr="000F175B">
        <w:t>.</w:t>
      </w:r>
    </w:p>
    <w:p w14:paraId="03463589" w14:textId="3879B948" w:rsidR="000F175B" w:rsidRPr="000F175B" w:rsidRDefault="000F175B" w:rsidP="000F175B">
      <w:r w:rsidRPr="000F175B">
        <w:t>Relativamente alle spese, si evidenzia l’azzeramento</w:t>
      </w:r>
      <w:r>
        <w:t>, anche per quest’anno,</w:t>
      </w:r>
      <w:r w:rsidRPr="000F175B">
        <w:t xml:space="preserve"> del contributo alla Fondazione Forense Modenese. Dal 2026 è previsto uno stanziamento di </w:t>
      </w:r>
      <w:r w:rsidRPr="000F175B">
        <w:rPr>
          <w:b/>
          <w:bCs/>
        </w:rPr>
        <w:t>€ 15.000</w:t>
      </w:r>
      <w:r w:rsidRPr="000F175B">
        <w:t xml:space="preserve"> per il progetto violenza di genere. Le altre spese sono state determinate in base alle necessità e calibrate sul rendiconto 2025.</w:t>
      </w:r>
    </w:p>
    <w:p w14:paraId="378068EA" w14:textId="3BDE1B07" w:rsidR="000F175B" w:rsidRPr="000F175B" w:rsidRDefault="000F175B" w:rsidP="000F175B">
      <w:r w:rsidRPr="000F175B">
        <w:t xml:space="preserve">Per la gestione non corrente è previsto l’utilizzo di </w:t>
      </w:r>
      <w:r w:rsidRPr="000F175B">
        <w:rPr>
          <w:b/>
          <w:bCs/>
        </w:rPr>
        <w:t>€ 28.000</w:t>
      </w:r>
      <w:r w:rsidRPr="000F175B">
        <w:t>.</w:t>
      </w:r>
      <w:r w:rsidRPr="000F175B">
        <w:br/>
        <w:t>Il totale delle spese pareggia con il totale delle entrate.</w:t>
      </w:r>
    </w:p>
    <w:p w14:paraId="5445AFED" w14:textId="429FF691" w:rsidR="000F175B" w:rsidRPr="000F175B" w:rsidRDefault="000F175B" w:rsidP="000F175B">
      <w:r w:rsidRPr="000F175B">
        <w:t xml:space="preserve">La presente Relazione si conclude con l’invito ai Colleghi </w:t>
      </w:r>
      <w:r w:rsidR="00A135BE">
        <w:t xml:space="preserve">e alle Colleghe </w:t>
      </w:r>
      <w:r w:rsidRPr="000F175B">
        <w:t xml:space="preserve">a formulare eventuali richieste di chiarimenti e, successivamente, ad approvare il bilancio consuntivo al </w:t>
      </w:r>
      <w:r w:rsidRPr="000F175B">
        <w:rPr>
          <w:b/>
          <w:bCs/>
        </w:rPr>
        <w:t>31.12.2025</w:t>
      </w:r>
      <w:r w:rsidRPr="000F175B">
        <w:t xml:space="preserve"> e il preventivo 2026.</w:t>
      </w:r>
    </w:p>
    <w:p w14:paraId="56850AD9" w14:textId="77777777" w:rsidR="00E15547" w:rsidRDefault="00E15547"/>
    <w:sectPr w:rsidR="00E15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0DB2"/>
    <w:multiLevelType w:val="multilevel"/>
    <w:tmpl w:val="4EA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D5654"/>
    <w:multiLevelType w:val="multilevel"/>
    <w:tmpl w:val="446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66635"/>
    <w:multiLevelType w:val="multilevel"/>
    <w:tmpl w:val="A5CA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47DD0"/>
    <w:multiLevelType w:val="multilevel"/>
    <w:tmpl w:val="C1F0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C05AB"/>
    <w:multiLevelType w:val="multilevel"/>
    <w:tmpl w:val="2F70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204867">
    <w:abstractNumId w:val="2"/>
  </w:num>
  <w:num w:numId="2" w16cid:durableId="991567483">
    <w:abstractNumId w:val="3"/>
  </w:num>
  <w:num w:numId="3" w16cid:durableId="690958982">
    <w:abstractNumId w:val="0"/>
  </w:num>
  <w:num w:numId="4" w16cid:durableId="447092394">
    <w:abstractNumId w:val="4"/>
  </w:num>
  <w:num w:numId="5" w16cid:durableId="46466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5B"/>
    <w:rsid w:val="000914A9"/>
    <w:rsid w:val="000F175B"/>
    <w:rsid w:val="002C42C5"/>
    <w:rsid w:val="00326254"/>
    <w:rsid w:val="00594E80"/>
    <w:rsid w:val="00843B94"/>
    <w:rsid w:val="009B36B1"/>
    <w:rsid w:val="00A135BE"/>
    <w:rsid w:val="00AB5D3B"/>
    <w:rsid w:val="00BE43DA"/>
    <w:rsid w:val="00D12469"/>
    <w:rsid w:val="00E15547"/>
    <w:rsid w:val="00E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F0D2"/>
  <w15:chartTrackingRefBased/>
  <w15:docId w15:val="{178A6F0D-A924-4F6E-A05D-3B3B05C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17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17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17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17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17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17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17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17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17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17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1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Organismo di Mediazione dell'Ordine degli Avvocati di Modena - Sala 2</dc:creator>
  <cp:keywords/>
  <dc:description/>
  <cp:lastModifiedBy>Organismo di Mediazione dell'Ordine degli Avvocati di Modena - Sala 2</cp:lastModifiedBy>
  <cp:revision>6</cp:revision>
  <cp:lastPrinted>2026-04-20T11:01:00Z</cp:lastPrinted>
  <dcterms:created xsi:type="dcterms:W3CDTF">2026-04-15T09:54:00Z</dcterms:created>
  <dcterms:modified xsi:type="dcterms:W3CDTF">2026-04-20T12:25:00Z</dcterms:modified>
</cp:coreProperties>
</file>